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color w:val="000080"/>
          <w:sz w:val="16"/>
          <w:szCs w:val="16"/>
        </w:rPr>
      </w:pPr>
      <w:r>
        <w:rPr>
          <w:rFonts w:cs="Verdana" w:ascii="Verdana" w:hAnsi="Verdana"/>
          <w:b/>
          <w:color w:val="000080"/>
          <w:sz w:val="16"/>
          <w:szCs w:val="16"/>
        </w:rPr>
      </w:r>
    </w:p>
    <w:p>
      <w:pPr>
        <w:pStyle w:val="Heading1"/>
        <w:ind w:hanging="0" w:start="0"/>
        <w:rPr>
          <w:color w:val="000080"/>
        </w:rPr>
      </w:pPr>
      <w:r>
        <w:rPr>
          <w:color w:val="000080"/>
        </w:rPr>
        <w:t>Código de Protección al Inversor</w:t>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rPr>
      </w:pPr>
      <w:r>
        <w:rPr>
          <w:rFonts w:cs="Verdana" w:ascii="Verdana" w:hAnsi="Verdana"/>
          <w:b/>
          <w:bCs/>
          <w:color w:val="000080"/>
          <w:sz w:val="18"/>
          <w:szCs w:val="18"/>
        </w:rPr>
        <w:t>Fondos Comunes de Inversión</w:t>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rPr>
      </w:pPr>
      <w:r>
        <w:rPr>
          <w:rFonts w:cs="Verdana" w:ascii="Verdana" w:hAnsi="Verdana"/>
          <w:b/>
          <w:bCs/>
          <w:color w:val="000080"/>
          <w:sz w:val="18"/>
          <w:szCs w:val="18"/>
        </w:rPr>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lang w:val="pt-BR"/>
        </w:rPr>
      </w:pPr>
      <w:r>
        <w:rPr>
          <w:rFonts w:cs="Verdana" w:ascii="Verdana" w:hAnsi="Verdana"/>
          <w:b/>
          <w:bCs/>
          <w:color w:val="000080"/>
          <w:sz w:val="18"/>
          <w:szCs w:val="18"/>
          <w:lang w:val="pt-BR"/>
        </w:rPr>
        <w:t>BANCO PATAGONIA S.A.</w:t>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rPr>
      </w:pPr>
      <w:r>
        <w:rPr>
          <w:rFonts w:cs="Verdana" w:ascii="Verdana" w:hAnsi="Verdana"/>
          <w:b/>
          <w:bCs/>
          <w:color w:val="000080"/>
          <w:sz w:val="18"/>
          <w:szCs w:val="18"/>
        </w:rPr>
        <w:t>En su calidad de Agente de Custodia de Productos de Inversión Colectiva de Fondos Comunes de Inversión</w:t>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rPr>
      </w:pPr>
      <w:r>
        <w:rPr>
          <w:rFonts w:cs="Verdana" w:ascii="Verdana" w:hAnsi="Verdana"/>
          <w:b/>
          <w:bCs/>
          <w:color w:val="000080"/>
          <w:sz w:val="18"/>
          <w:szCs w:val="18"/>
        </w:rPr>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lang w:val="pt-BR"/>
        </w:rPr>
      </w:pPr>
      <w:r>
        <w:rPr>
          <w:rFonts w:cs="Verdana" w:ascii="Verdana" w:hAnsi="Verdana"/>
          <w:b/>
          <w:bCs/>
          <w:color w:val="000080"/>
          <w:sz w:val="18"/>
          <w:szCs w:val="18"/>
          <w:lang w:val="pt-BR"/>
        </w:rPr>
        <w:t xml:space="preserve">PATAGONIA INVERSORA S.A.U. S.G.F.C.I. </w:t>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rPr>
      </w:pPr>
      <w:r>
        <w:rPr>
          <w:rFonts w:cs="Verdana" w:ascii="Verdana" w:hAnsi="Verdana"/>
          <w:b/>
          <w:bCs/>
          <w:color w:val="000080"/>
          <w:sz w:val="18"/>
          <w:szCs w:val="18"/>
        </w:rPr>
        <w:t>Agente de Administración de Productos de Inversión Colectiva de Fondos Comunes de Inversión</w:t>
      </w:r>
    </w:p>
    <w:p>
      <w:pPr>
        <w:pStyle w:val="Normal"/>
        <w:pBdr>
          <w:top w:val="single" w:sz="4" w:space="1" w:color="000000"/>
          <w:left w:val="single" w:sz="4" w:space="4" w:color="000000"/>
          <w:bottom w:val="single" w:sz="4" w:space="1" w:color="000000"/>
          <w:right w:val="single" w:sz="4" w:space="4" w:color="000000"/>
        </w:pBdr>
        <w:jc w:val="center"/>
        <w:rPr>
          <w:rFonts w:ascii="Verdana" w:hAnsi="Verdana" w:cs="Verdana"/>
          <w:b/>
          <w:bCs/>
          <w:color w:val="000080"/>
          <w:sz w:val="18"/>
          <w:szCs w:val="18"/>
        </w:rPr>
      </w:pPr>
      <w:r>
        <w:rPr>
          <w:rFonts w:cs="Verdana" w:ascii="Verdana" w:hAnsi="Verdana"/>
          <w:b/>
          <w:bCs/>
          <w:color w:val="000080"/>
          <w:sz w:val="18"/>
          <w:szCs w:val="18"/>
        </w:rPr>
      </w:r>
    </w:p>
    <w:p>
      <w:pPr>
        <w:pStyle w:val="Normal"/>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INTRODUCCION</w:t>
      </w:r>
    </w:p>
    <w:p>
      <w:pPr>
        <w:pStyle w:val="Normal"/>
        <w:shd w:fill="FFFFFF" w:val="clear"/>
        <w:spacing w:lineRule="atLeast" w:line="240" w:before="120" w:after="120"/>
        <w:rPr/>
      </w:pPr>
      <w:r>
        <w:rPr>
          <w:rFonts w:cs="Verdana" w:ascii="Verdana" w:hAnsi="Verdana"/>
          <w:color w:val="000080"/>
          <w:sz w:val="18"/>
          <w:szCs w:val="18"/>
        </w:rPr>
        <w:t>El presente Código de Protección al Inversor (el “Código”) ha sido adoptado                                                            por BANCO PATAGONIA S.A. para su actividad de Agente de Custodia de Productos de Inversión Colectiva de fondos comunes de inversión (el“Custodio”) y por PATAGONIA INVERSORA S.A.U. S.G.F.C.I. ( el “Administrador”) por su actividad de Agente de Administración de Productos de Inversión Colectiva de Fondos Comunes de Inversión, en cumplimiento de lo dispuesto por la Resolución General Nº 529 de la Comisión Nacional de Valores (la “CNV”) y sus normas modificatorias.</w:t>
      </w:r>
      <w:r>
        <w:rPr>
          <w:rFonts w:cs="Verdana" w:ascii="Verdana" w:hAnsi="Verdana"/>
          <w:b/>
          <w:bCs/>
          <w:color w:val="000080"/>
          <w:sz w:val="18"/>
          <w:szCs w:val="18"/>
        </w:rPr>
        <w:t>SECCION PRIMERA: CONSIDERACIONES GENERALES</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bCs/>
          <w:color w:val="000080"/>
          <w:sz w:val="18"/>
          <w:szCs w:val="18"/>
        </w:rPr>
        <w:t>1. AMBITO DE APLICACION</w:t>
      </w:r>
    </w:p>
    <w:p>
      <w:pPr>
        <w:pStyle w:val="Normal"/>
        <w:shd w:fill="FFFFFF" w:val="clear"/>
        <w:spacing w:lineRule="atLeast" w:line="240" w:before="120" w:after="120"/>
        <w:rPr/>
      </w:pPr>
      <w:r>
        <w:rPr>
          <w:rFonts w:cs="Verdana" w:ascii="Verdana" w:hAnsi="Verdana"/>
          <w:color w:val="000080"/>
          <w:sz w:val="18"/>
          <w:szCs w:val="18"/>
        </w:rPr>
        <w:t>1.1. Las disposiciones del Código se han redactado con el objeto de constituir, junto con el Reglamento de Gestión, el marco de referencia para la relación entre los cuotapartistas, el CUSTODIO y el Administrador (en adelante, el Administrador y el Custodio, las “Partes Participantes”).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1.2. La aplicación de las disposiciones del Código se realizarán teniendo en cuenta el compromiso de las Partes Participantes de utilizarlo como instrumento destinado a la protección del cuotapartista y para mejorar la transparencia en la información suministrada al público inversor.</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1.3. Las Partes Participantes no se encuentran limitadas y pueden individualmente modificar en el futuro los compromisos establecidos en este Código. Asimismo podrán contar con políticas y procedimientos adicionales aplicables o no a la protección de los cuotapartistas.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1.4. Este Código implica el compromiso de las Partes Participantes de adecuar su conducta a las reglas incluidas en él y cumplir fiel y lealmente las obligaciones que aquí se contraen en beneficio de los cuotapartistas. Asimismo, el Código, constituirá una referencia orientadora al cuotapartista, compilando los derechos que le asisten y haciéndole saber cómo se espera que las Partes Participantes actúen respecto a la operatoria de Fondos Comunes de Inversión, como de las consultas y/o reclamos que se pudieran presentar.</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1.5. Las Partes Participantes arbitrarán los medios para comunicar a su personal sobre las disposiciones del Código a fin de asegurar el cumplimiento del mismo.</w:t>
      </w:r>
    </w:p>
    <w:p>
      <w:pPr>
        <w:pStyle w:val="Normal"/>
        <w:shd w:fill="FFFFFF" w:val="clear"/>
        <w:spacing w:lineRule="atLeast" w:line="240" w:before="120" w:after="120"/>
        <w:rPr/>
      </w:pPr>
      <w:r>
        <w:rPr>
          <w:rFonts w:cs="Verdana" w:ascii="Verdana" w:hAnsi="Verdana"/>
          <w:color w:val="000080"/>
          <w:sz w:val="18"/>
          <w:szCs w:val="18"/>
        </w:rPr>
        <w:t>1.6. La entrada en vigencia del Código se hará efectiva a partir de su publicación en la Autopista de Información Financiera (la “AIF”) de la página Web de la CNV (</w:t>
      </w:r>
      <w:hyperlink r:id="rId2">
        <w:r>
          <w:rPr>
            <w:rStyle w:val="Hyperlink"/>
            <w:rFonts w:cs="Verdana" w:ascii="Verdana" w:hAnsi="Verdana"/>
            <w:color w:val="000080"/>
            <w:sz w:val="18"/>
            <w:szCs w:val="18"/>
          </w:rPr>
          <w:t>www.cnv.gob.ar</w:t>
        </w:r>
      </w:hyperlink>
      <w:r>
        <w:rPr>
          <w:rFonts w:cs="Verdana" w:ascii="Verdana" w:hAnsi="Verdana"/>
          <w:color w:val="000080"/>
          <w:sz w:val="18"/>
          <w:szCs w:val="18"/>
        </w:rPr>
        <w:t>).</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bCs/>
          <w:color w:val="000080"/>
          <w:sz w:val="18"/>
          <w:szCs w:val="18"/>
        </w:rPr>
        <w:t>2. COMPROMISOS CON EL CUOTAPARTISTA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Los compromisos que las Partes Participantes asumen con los cuotapartistas son: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2.1. Actuar frente a los cuotapartistas de acuerdo a las normas de prudencia y diligencia de un buen hombre de negocios, en el exclusivo beneficio de los intereses colectivos de los cuotapartistas, priorizándolos respecto de los intereses individuales de las Partes Participantes en un todo de acuerdo con las disposiciones legales y reglamentarias aplicables, así como con los principios establecidos en este Código.</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2.2. Informar a los cuotapartistas de manera veraz, objetiva, adecuada, completa y precisa de acuerdo a su experiencia y profesionalismo, acerca de la operatoria de Fondos Comunes de Inversión, a fin de facilitarle la elección informada de la opción de inversión en Fondos Comunes de Inversión que se ajuste más a sus requerimientos o necesidades.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2.3. Responder y recibir diligentemente cualquier reclamo y/o queja que los cuotapartistas realicen a las Partes Participantes, mediante sistemas de recepción de reclamos y quejas, implementando mecanismos correctivos para su adecuada gestión.  El proceso de recepción, procesamiento y respuesta de reclamos y/o quejas podrá ser realizado en forma conjunta o individual por cualquiera de las Partes Participantes. </w:t>
      </w:r>
    </w:p>
    <w:p>
      <w:pPr>
        <w:pStyle w:val="Normal"/>
        <w:shd w:fill="FFFFFF" w:val="clear"/>
        <w:spacing w:lineRule="atLeast" w:line="240" w:before="120" w:after="120"/>
        <w:rPr/>
      </w:pPr>
      <w:r>
        <w:rPr>
          <w:rFonts w:cs="Verdana" w:ascii="Verdana" w:hAnsi="Verdana"/>
          <w:color w:val="000080"/>
          <w:sz w:val="18"/>
          <w:szCs w:val="18"/>
        </w:rPr>
        <w:t>2.4. Publicitar la existencia de este Código en la página Web de las Partes Participantes y en la AIF y promover su divulgación en las comunicaciones con sus cuotapartistas.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2.5. Utilizar tanto en los Reglamentos de Gestión aprobados por la CNV, como en toda comunicación dirigida a los clientes, cláusulas redactadas en forma clara, de manera que armonicen adecuadamente los intereses de ambas partes.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2.6. Ejecutar los compromisos asumidos con profesionalidad, buena fe, diligencia, lealtad y probidad.</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bCs/>
          <w:color w:val="000080"/>
          <w:sz w:val="18"/>
          <w:szCs w:val="18"/>
        </w:rPr>
        <w:t>3. TRANSPARENCIA EN LA INFORMACION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3.1. En las promociones de Fondos Comunes de Inversión que se efectúen mediante comunicaciones dirigidas al público en general, las Partes Participantes deberán cumplir con los requisitos legales y regulatorios dispuestos para tales comunicaciones.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3.2. En caso de recibir solicitudes de información con respecto a la operatoria de Fondos Comunes de Inversión por parte de potenciales inversores, las Partes Participantes se comprometerán 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 Proporcionar a los inversores información clara y suficiente sobre la operatoria y riesgos de los Fondos Comunes de Inversión disponibles para invertir. La información ofrecida deberá incluir los términos y condiciones y las características esenciales de cada Fondo Común de Inversión y un detalle de todos los honorarios y gastos que se aplicarán al mismo.</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(II) Informar a los cuotapartistas los canales alternativos para realizar suscripciones y rescates y/o obtener información adicional sobre la operatoria de los Fondos Comunes de Inversión.</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bCs/>
          <w:color w:val="000080"/>
          <w:sz w:val="18"/>
          <w:szCs w:val="18"/>
        </w:rPr>
        <w:t>4. ATENCION AL CUOTAPARTISTA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4.1. Las Partes Participantes ofrecerán opciones de comunicación para la atención a los cuotapartistas ante cualquier consulta que éstos deseen efectuar. La atención de los cuotapartistas podrá ser realizada en forma indistinta por las Partes Participantes, en la medida en que dichas entidades así lo acuerden.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4.2. El acceso a las alternativas de comunicación podrá realizarse en forma personal, por escrito, por vía telefónica o por Internet, en la medida que dichos canales de comunicación se encuentren disponibles.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4.3. Entre las funciones de las líneas de atención al cuotapartista se encuentra la de evacuar cualquier consulta referida a Fondos Comunes de Inversión, incluyendo las cuestiones tratadas en el presente Código.</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bCs/>
          <w:color w:val="000080"/>
          <w:sz w:val="18"/>
          <w:szCs w:val="18"/>
        </w:rPr>
        <w:t>5. RECLAMOS DEL CUOTAPARTISTA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5.1. Las Partes Participantes informarán a sus cuotapartistas sobre todos los canales de atención y recepción de reclamos disponibles.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5.2. Las Partes Participantes atenderán los reclamos de cuotapartistas diligentemente, conforme a las circunstancias del caso.</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5.3. Si un cuotapartista desea presentar un reclamo, lo podrá realizar por las vías señaladas en el punto 4.2. de esta Sección, si se hubieran habilitado dichos canales de atención.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5.4. Las Partes Participantes registrarán los reclamos de los cuotapartistas a fin de facilitar su seguimiento.</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5.5. Excepto que una norma legal estableciera un plazo diferente, las Partes Participantes deberán dar respuesta a los reclamos dentro de los treinta (30) días corridos de recibidos. Dicho plazo podrá ser extendido de manera razonable por causa de fuerza mayor.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5.6. Las Partes Participantes se comprometen a ejercer una supervisión constante del estado de los reclamos presentados a fin de asegurar plazos de respuesta razonables.</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pPr>
      <w:r>
        <w:rPr>
          <w:rFonts w:cs="Verdana" w:ascii="Verdana" w:hAnsi="Verdana"/>
          <w:b/>
          <w:bCs/>
          <w:color w:val="000080"/>
          <w:sz w:val="18"/>
          <w:szCs w:val="18"/>
        </w:rPr>
        <w:t>6. FONDO DE GARANTÍA</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Conforme lo exigido por la CNV, el Custodio deberá aportar a un Fondo de Garantía para Reclamos de Clientes, que será administrado por los mercados de los cuales el Custodio es miembro.</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Además de las vías señaladas en el punto 4.2. del presente, el cuotapartista podrá efectuar reclamos ante la CNV, siendo de aplicación el procedimiento establecido para el trámite de denuncias ante la CNV y ésta emitirá resolución final, pudiendo en su caso aplicarse el procedimiento específico que a estos efectos disponga la CNV. El reclamo iniciado ante la CNV no reemplaza la vía judicial, quedando abierto el planteo ante la justicia de aquellas cuestiones que estime hacen a su derecho, tanto para el cuotapartista como para la CNV. El cuotapartista deberá informar a la CNV en caso de resolver la presentación de su planteo por la vía judicial. En caso de que la CNV resuelva favorablemente el reclamo del cuotapartista, hará saber tal decisión al mercado del cual el Custodio sea miembro a los fines de la afectación del respectivo Fondo de Garantía para Reclamos de Clientes y efectivo pago. La CNV podrá establecer el máximo a afectar del Fondo de Garantía para Reclamo de Clientes por reclamo y/o por cuotapartista.</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bCs/>
          <w:color w:val="000080"/>
          <w:sz w:val="18"/>
          <w:szCs w:val="18"/>
        </w:rPr>
        <w:t>7. TRATAMIENTO DE LA INFORMACION RELATIVA AL CUOTAPARTISTA</w:t>
      </w:r>
    </w:p>
    <w:p>
      <w:pPr>
        <w:pStyle w:val="Normal"/>
        <w:shd w:fill="FFFFFF" w:val="clear"/>
        <w:spacing w:lineRule="atLeast" w:line="240" w:before="120" w:after="120"/>
        <w:rPr/>
      </w:pPr>
      <w:r>
        <w:rPr>
          <w:rFonts w:cs="Verdana" w:ascii="Verdana" w:hAnsi="Verdana"/>
          <w:color w:val="000080"/>
          <w:sz w:val="18"/>
          <w:szCs w:val="18"/>
        </w:rPr>
        <w:t>7.1. Las Partes Participantes trataran la información de cada cuotapartista con la mayor prudencia y confidencialidad, aún cuando haya cesado la relación con el mismo.</w:t>
      </w:r>
    </w:p>
    <w:p>
      <w:pPr>
        <w:pStyle w:val="Normal"/>
        <w:shd w:fill="FFFFFF" w:val="clear"/>
        <w:spacing w:lineRule="atLeast" w:line="240" w:before="120" w:after="120"/>
        <w:rPr/>
      </w:pPr>
      <w:r>
        <w:rPr>
          <w:rFonts w:cs="Verdana" w:ascii="Verdana" w:hAnsi="Verdana"/>
          <w:color w:val="000080"/>
          <w:sz w:val="18"/>
          <w:szCs w:val="18"/>
        </w:rPr>
        <w:t>7.2. La información relativa a los cuotapartistas sólo se dará a conocer a terceros ajenos a la operatoria de Fondos Comunes de Inversión, en caso de requerimiento judicial o si existiera una autorización o un pedido expreso y por escrito del cuotapartista. A estos efectos, los proveedores de las Partes Participantes que tengan intervención en sus procesos, se considerarán comprendidos dentro de la operatoria de Fondos Comunes de Inversión y estarán obligados a guardar reserva de las informaciones de que tomen conocimiento, cual si fueran una de las Partes Participantes.</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bCs/>
          <w:color w:val="000080"/>
          <w:sz w:val="18"/>
          <w:szCs w:val="18"/>
        </w:rPr>
        <w:t>8. ACTUALIZACION DEL CODIGO</w:t>
      </w:r>
    </w:p>
    <w:p>
      <w:pPr>
        <w:pStyle w:val="Normal"/>
        <w:shd w:fill="FFFFFF" w:val="clear"/>
        <w:spacing w:lineRule="atLeast" w:line="240" w:before="120" w:after="120"/>
        <w:rPr/>
      </w:pPr>
      <w:r>
        <w:rPr>
          <w:rFonts w:cs="Verdana" w:ascii="Verdana" w:hAnsi="Verdana"/>
          <w:color w:val="000080"/>
          <w:sz w:val="18"/>
          <w:szCs w:val="18"/>
        </w:rPr>
        <w:t xml:space="preserve">8.1. Las actualizaciones del Código se harán con una frecuencia razonable a fin de adecuar el mismo a modificaciones regulatorias u operativas aplicables a los Fondos Comunes de Inversión. </w:t>
      </w:r>
    </w:p>
    <w:p>
      <w:pPr>
        <w:pStyle w:val="Normal"/>
        <w:shd w:fill="FFFFFF" w:val="clear"/>
        <w:spacing w:lineRule="atLeast" w:line="240" w:before="120" w:after="120"/>
        <w:rPr/>
      </w:pPr>
      <w:r>
        <w:rPr>
          <w:rFonts w:cs="Verdana" w:ascii="Verdana" w:hAnsi="Verdana"/>
          <w:color w:val="000080"/>
          <w:sz w:val="18"/>
          <w:szCs w:val="18"/>
        </w:rPr>
        <w:t>8.2. A los efectos de realizar las actualizaciones correspondientes los ADMINISTRADORES adherentes tendrán en cuenta las sugerencias efectuadas por los cuotapartistas, las demás Partes Participantes, la CNV y las organizaciones no gubernamentales.</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SECCION SEGUNDA: OPERATORIA CON FONDOS COMUNES DE INVERSION</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1. SUSCRIPCION DE FONDOS COMUNES DE INVERSION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1.1. Términos y condiciones.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1.1.1. Al ser solicitada la suscripción de cuotapartes de un Fondo Común de Inversión determinado, se informará a los inversores en forma escrita por intermedio del Reglamento de Gestión, todos los términos y condiciones relevantes de la operatoria de Fondos Comunes de Inversión.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1.1.2. Los derechos y obligaciones que regulan la relación entre los cuotapartistas y las Partes Participantes estarán estipulados en el Reglamento de Gestión.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1.1.3. Cada cuotapartista recibirá una copia del Reglamento de Gestión al momento de la suscripción de cuotapartes de un Fondo Común de Inversión determinado, o tan pronto como sea posible cuando la suscripción no sea presencial.</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1.1.4. Los Reglamentos de Gestión entregados a los cuotapartistas cumplirán con el proceso previo de revisión y aprobación de la CNV y estarán disponibles en la AIF.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1.2. Modificaciones del Reglamento de Gestión.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1.2.1. El Reglamento de Gestión podrá modificarse mediante acuerdo entre as Partes Participantes sin que sea requerido el consentimiento de los cuotapartistas. Toda modificación será previamente aprobada por la CNV.</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Cuando la reforma tenga por objeto modificar sustancialmente la política de inversiones, o los activos autorizados, o aumentar el tope de honorarios y gastos, se aplicarán las siguientes reglas: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 No se cobrará a los cuotapartistas la comisión de rescate que pudiere corresponder durante un plazo de quince (15) días corridos desde la publicación de la reforma.</w:t>
      </w:r>
    </w:p>
    <w:p>
      <w:pPr>
        <w:pStyle w:val="Normal"/>
        <w:shd w:fill="FFFFFF" w:val="clear"/>
        <w:spacing w:lineRule="atLeast" w:line="240" w:before="120" w:after="120"/>
        <w:rPr/>
      </w:pPr>
      <w:r>
        <w:rPr>
          <w:rFonts w:cs="Verdana" w:ascii="Verdana" w:hAnsi="Verdana"/>
          <w:color w:val="000080"/>
          <w:sz w:val="18"/>
          <w:szCs w:val="18"/>
        </w:rPr>
        <w:t xml:space="preserve">(II) Las modificaciones aprobadas por la CNV no serán aplicadas hasta transcurridos quince (15) días desde su inscripción en el Registro Público de Comercio y publicación por dos (2) días en el Boletín Oficial y en un diario de amplia difusión en la jurisdicción de las Partes Participantes.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1.2.2. En caso de adoptarse el Reglamento de Gestión Tipo, las cláusulas generales del mismo sólo podrán ser modificadas por la CNV y se considerarán incorporadas al mismo en forma automática a partir de la entrada en vigencia de la Resolución aprobatoria.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1.2.3. En caso de modificación del Reglamento de Gestión, se publicará un aviso por dos (2) días en el Boletín Oficial y en un diario de amplia difusión en las jurisdicciones de laa Partes Participantes donde se haga constar la aprobación por parte de la CNV del texto modificado del Reglamento de Gestión, y una indicación expresa que copia del correspondiente texto se encuentra a disposición de los interesados en las sedes sociales de las Partes Participantes.</w:t>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color w:val="000080"/>
          <w:sz w:val="18"/>
          <w:szCs w:val="18"/>
        </w:rPr>
        <w:t>2. OPERATORIA CON FONDOS COMUNES DE INVERSION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2.1. Comisiones y cargos.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2.1.1. Las Partes Participantes no aplicarán cargos ni comisiones que no estén expresamente contemplados en el Reglamento de Gestión, donde también se señalará un tope máximo autorizado para la totalidad de los cargos y comisiones cobrados al cuotapartista.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2.1.2. La información sobre comisiones y cargos estará detallada en forma clara a fin de evitar que la información suministrada resulte engañosa o parcial para los cuotapartistas.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2.2. Información al cuotapartista.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2.2.1. Los cuotapartistas contarán con la siguiente información: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 Un comprobante de su estado de cuenta en el momento de la suscripción o dentro de las veinticuatro (24) horas de efectuada, sin cargo.</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(II) Un comprobante de la constancia del saldo de su cuenta y de todos los movimientos que se inscriban en ella, en cualquier momento a pedido del cuotapartista y a su costa.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(III) Trimestralmente un resumen de su cuenta con los movimientos del período sin cargo.</w:t>
      </w:r>
    </w:p>
    <w:p>
      <w:pPr>
        <w:pStyle w:val="Normal"/>
        <w:shd w:fill="FFFFFF" w:val="clear"/>
        <w:spacing w:lineRule="atLeast" w:line="240" w:before="120" w:after="120"/>
        <w:rPr/>
      </w:pPr>
      <w:r>
        <w:rPr>
          <w:rFonts w:cs="Verdana" w:ascii="Verdana" w:hAnsi="Verdana"/>
          <w:color w:val="000080"/>
          <w:sz w:val="18"/>
          <w:szCs w:val="18"/>
        </w:rPr>
        <w:t>En los casos (I) y (III) la remisión se efectuará al domicilio del cuotapartista, quien podrá optar en forma documentada por retirarlo del domicilio  del Custodio, en caso de  corresponder.</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2.2.2. El texto vigente del Reglamento de Gestión de los fondos deberá ser entregado a  cada cuotapartista suscriptor de un Fondo Común de Inversión y a cualquier interesado que así lo solicite.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2.2.3. Las Partes Participantes, brindarán al cuotapartista una completa y oportuna información sobre la operatoria de Fondos Comunes de Inversión por intermedio de personal idóneo.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2.3. Publicidad obligatoria.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2.3.1. Diariamente, el valor y la cantidad total de cuotapartes emitidas, netas de suscripciones y rescates al cierre de las operaciones del día.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2.3.2. Mensualmente, la composición de la cartera de inversiones. Sin perjuicio de ello, los órganos activos de los Fondos Comunes de Inversión deberán exhibir o tener a disposición de los inversores en sus locales de atención al público un extracto semanal de la composición de su cartera.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2.3.3. Trimestralmente, el estado de resultados.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2.3.4. Anualmente, el balance y estado de resultados en moneda de valor constante y el detalle de los activos integrantes del Fondo Común de Inversión.</w:t>
      </w:r>
    </w:p>
    <w:p>
      <w:pPr>
        <w:pStyle w:val="Normal"/>
        <w:shd w:fill="FFFFFF" w:val="clear"/>
        <w:spacing w:lineRule="atLeast" w:line="240" w:before="120" w:after="120"/>
        <w:rPr/>
      </w:pPr>
      <w:r>
        <w:rPr>
          <w:rFonts w:cs="Verdana" w:ascii="Verdana" w:hAnsi="Verdana"/>
          <w:color w:val="000080"/>
          <w:sz w:val="18"/>
          <w:szCs w:val="18"/>
        </w:rPr>
        <w:t xml:space="preserve">La difusión de la información señalada con anterioridad se hará en un órgano informativo de una entidad autorregulada o en un diario de amplia difusión en la jurisdicción donde el Administrador adherente tengan su sede social, y a través de la AIF.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2.4. Publicidad e información voluntaria promocional.</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Las actividades tendientes a la promoción y desarrollo de los fondos, incluyendo enunciativamente la realización de publicidades de los fondos por cualquier medio, deberán cumplir con las siguientes pautas: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 En ningún caso, se puede asegurar ni garantizar el resultado de la inversión.</w:t>
      </w:r>
    </w:p>
    <w:p>
      <w:pPr>
        <w:pStyle w:val="Normal"/>
        <w:shd w:fill="FFFFFF" w:val="clear"/>
        <w:spacing w:lineRule="atLeast" w:line="240" w:before="120" w:after="120"/>
        <w:rPr/>
      </w:pPr>
      <w:r>
        <w:rPr>
          <w:rFonts w:cs="Verdana" w:ascii="Verdana" w:hAnsi="Verdana"/>
          <w:color w:val="000080"/>
          <w:sz w:val="18"/>
          <w:szCs w:val="18"/>
        </w:rPr>
        <w:t xml:space="preserve">(II) Se debe establecer la existencia del Agente de Custodia de Productos de Inversión Colectiva de Fondos Comunes de Inversión del Agente de Custodia de Productos de Inversión Colectiva de Fondos Comunes de Inversión con igual rango de importancia.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(III) Se debe agregar en forma legible y destacada: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w:t>
      </w:r>
      <w:r>
        <w:rPr>
          <w:rFonts w:eastAsia="Verdana" w:cs="Verdana" w:ascii="Verdana" w:hAnsi="Verdana"/>
          <w:color w:val="000080"/>
          <w:sz w:val="18"/>
          <w:szCs w:val="18"/>
        </w:rPr>
        <w:t xml:space="preserve"> </w:t>
      </w:r>
      <w:r>
        <w:rPr>
          <w:rFonts w:cs="Verdana" w:ascii="Verdana" w:hAnsi="Verdana"/>
          <w:color w:val="000080"/>
          <w:sz w:val="18"/>
          <w:szCs w:val="18"/>
        </w:rPr>
        <w:t>Una leyenda que indique que el valor de cuotaparte es neto de honorarios de las Partes Participantes.</w:t>
      </w:r>
    </w:p>
    <w:p>
      <w:pPr>
        <w:pStyle w:val="Normal"/>
        <w:shd w:fill="FFFFFF" w:val="clear"/>
        <w:spacing w:lineRule="atLeast" w:line="240" w:before="120" w:after="120"/>
        <w:rPr/>
      </w:pPr>
      <w:r>
        <w:rPr>
          <w:rFonts w:cs="Verdana" w:ascii="Verdana" w:hAnsi="Verdana"/>
          <w:color w:val="000080"/>
          <w:sz w:val="18"/>
          <w:szCs w:val="18"/>
        </w:rPr>
        <w:t>•</w:t>
      </w:r>
      <w:r>
        <w:rPr>
          <w:color w:val="000080"/>
        </w:rPr>
        <w:t xml:space="preserve"> </w:t>
      </w:r>
      <w:r>
        <w:rPr>
          <w:rFonts w:cs="Verdana" w:ascii="Verdana" w:hAnsi="Verdana"/>
          <w:color w:val="000080"/>
          <w:sz w:val="18"/>
          <w:szCs w:val="18"/>
        </w:rPr>
        <w:t>Un detalle de honorarios del Agente de Administración de Productos de Inversión Colectiva de Fondos Comunes de Inversión y del Agente de Custodia de Productos de Inversión Colectiva de Fondos Comunes de Inversión, de los gastos ordinarios de gestión y de las comisiones de suscripción, de rescate y de transferencia vigentes.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•Una leyenda que aclare si existen honorarios de éxito, indicándose claramente si para el cálculo de dichos honorarios se tomará en cuenta la posición individual de cada cuotapartista o, por el contrario, se tomará la evolución del patrimonio neto del Fondo.</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w:t>
      </w:r>
      <w:r>
        <w:rPr>
          <w:rFonts w:eastAsia="Verdana" w:cs="Verdana" w:ascii="Verdana" w:hAnsi="Verdana"/>
          <w:color w:val="000080"/>
          <w:sz w:val="18"/>
          <w:szCs w:val="18"/>
        </w:rPr>
        <w:t xml:space="preserve"> </w:t>
      </w:r>
      <w:r>
        <w:rPr>
          <w:rFonts w:cs="Verdana" w:ascii="Verdana" w:hAnsi="Verdana"/>
          <w:color w:val="000080"/>
          <w:sz w:val="18"/>
          <w:szCs w:val="18"/>
        </w:rPr>
        <w:t xml:space="preserve">Indicación, en cada caso, si se trata de datos anuales, si son de carácter fijo o variable.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w:t>
      </w:r>
      <w:r>
        <w:rPr>
          <w:rFonts w:eastAsia="Verdana" w:cs="Verdana" w:ascii="Verdana" w:hAnsi="Verdana"/>
          <w:color w:val="000080"/>
          <w:sz w:val="18"/>
          <w:szCs w:val="18"/>
        </w:rPr>
        <w:t xml:space="preserve"> </w:t>
      </w:r>
      <w:r>
        <w:rPr>
          <w:rFonts w:cs="Verdana" w:ascii="Verdana" w:hAnsi="Verdana"/>
          <w:color w:val="000080"/>
          <w:sz w:val="18"/>
          <w:szCs w:val="18"/>
        </w:rPr>
        <w:t>El porcentaje de todos los conceptos mencionados anteriormente, deberá exponerse en tanto por ciento con dos decimales.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w:t>
      </w:r>
      <w:r>
        <w:rPr>
          <w:rFonts w:eastAsia="Verdana" w:cs="Verdana" w:ascii="Verdana" w:hAnsi="Verdana"/>
          <w:color w:val="000080"/>
          <w:sz w:val="18"/>
          <w:szCs w:val="18"/>
        </w:rPr>
        <w:t xml:space="preserve"> </w:t>
      </w:r>
      <w:r>
        <w:rPr>
          <w:rFonts w:cs="Verdana" w:ascii="Verdana" w:hAnsi="Verdana"/>
          <w:color w:val="000080"/>
          <w:sz w:val="18"/>
          <w:szCs w:val="18"/>
        </w:rPr>
        <w:t>En todos los casos, se deberá precisar la fecha de vigencia de los datos informados, e incorporar una leyenda de donde surja dónde puede el inversor adquirir datos actualizados.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(IV) se debe agregar en forma legible y destacada una leyenda indicando: </w:t>
      </w:r>
    </w:p>
    <w:p>
      <w:pPr>
        <w:pStyle w:val="Normal"/>
        <w:pBdr>
          <w:top w:val="single" w:sz="4" w:space="1" w:color="000000"/>
          <w:left w:val="single" w:sz="4" w:space="4" w:color="000000"/>
          <w:bottom w:val="single" w:sz="4" w:space="1" w:color="000000"/>
          <w:right w:val="single" w:sz="4" w:space="4" w:color="000000"/>
        </w:pBdr>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"Las inversiones en cuotas del fondo no constituyen depósitos en Banco Patagonia S.A. a los fines de la Ley de Entidades Financieras ni cuentan con ninguna de las garantías que tales depósitos a la vista o a plazo puedan gozar de acuerdo a la legislación y reglamentación aplicables en materia de depósitos en entidades financieras.  Asimismo, Banco Patagonia S.A. se encuentra impedida por normas del Banco Central de la República Argentina de asumir, tácita o expresamente, compromiso alguno en cuanto al mantenimiento, en cualquier momento, del valor del capital invertido, al rendimiento, al valor de rescate de las cuotapartes o al otorgamiento de liquidez a tal fin".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La leyenda anteriormente señalada deberá incorporarse en todos los formularios que se utilicen en el funcionamiento de los Fondos Comunes de Inversión y asimismo exhibirse en forma destacada en todos los locales donde se promocionen y/o vendan cuotapartes de Fondos Comunes de Inversión.</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 xml:space="preserve">(V) No se pueden utilizar palabras comunes o de la misma raíz, frases, abreviaturas, siglas o símbolos, cuando ellos puedan inducir al cuotapartista o identificar al Fondo Común de Inversión con la entidad financiera interviniente o que cuenta con el respaldo patrimonial o financiero de ésta. </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(VI) Toda publicidad debe remitirse a la CNV dentro de los tres (3) días de realizada.</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2.5. Hechos relevantes.</w:t>
      </w:r>
    </w:p>
    <w:p>
      <w:pPr>
        <w:pStyle w:val="Normal"/>
        <w:shd w:fill="FFFFFF" w:val="clear"/>
        <w:spacing w:lineRule="atLeast" w:line="240" w:before="120" w:after="120"/>
        <w:rPr>
          <w:rFonts w:ascii="Verdana" w:hAnsi="Verdana" w:cs="Verdana"/>
          <w:color w:val="000080"/>
          <w:sz w:val="18"/>
          <w:szCs w:val="18"/>
        </w:rPr>
      </w:pPr>
      <w:r>
        <w:rPr>
          <w:rFonts w:cs="Verdana" w:ascii="Verdana" w:hAnsi="Verdana"/>
          <w:color w:val="000080"/>
          <w:sz w:val="18"/>
          <w:szCs w:val="18"/>
        </w:rPr>
        <w:t>El acaecimiento de todo hecho relevante, es decir, todo hecho o situación que por su importancia sea apto para afectar en forma sustancial, las suscripciones o rescates, el valor, o la negociación de cuotapartes, será comunicado a la CNV y publicado para información del público en general en la AIF.</w:t>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color w:val="000080"/>
          <w:sz w:val="18"/>
          <w:szCs w:val="18"/>
        </w:rPr>
      </w:r>
    </w:p>
    <w:p>
      <w:pPr>
        <w:pStyle w:val="Normal"/>
        <w:shd w:fill="FFFFFF" w:val="clear"/>
        <w:spacing w:lineRule="atLeast" w:line="240" w:before="120" w:after="120"/>
        <w:rPr>
          <w:rFonts w:ascii="Verdana" w:hAnsi="Verdana" w:cs="Verdana"/>
          <w:b/>
          <w:color w:val="000080"/>
          <w:sz w:val="18"/>
          <w:szCs w:val="18"/>
        </w:rPr>
      </w:pPr>
      <w:r>
        <w:rPr>
          <w:rFonts w:cs="Verdana" w:ascii="Verdana" w:hAnsi="Verdana"/>
          <w:b/>
          <w:color w:val="000080"/>
          <w:sz w:val="18"/>
          <w:szCs w:val="18"/>
        </w:rPr>
        <w:t>3. SISTEMAS DE NEGOCIACION QUE GARANTICEN LA TRANSPARENCIA</w:t>
      </w:r>
    </w:p>
    <w:p>
      <w:pPr>
        <w:pStyle w:val="Normal"/>
        <w:shd w:fill="FFFFFF" w:val="clear"/>
        <w:spacing w:lineRule="atLeast" w:line="240" w:before="120" w:after="120"/>
        <w:rPr/>
      </w:pPr>
      <w:r>
        <w:rPr>
          <w:rFonts w:cs="Verdana" w:ascii="Verdana" w:hAnsi="Verdana"/>
          <w:color w:val="000080"/>
          <w:sz w:val="18"/>
          <w:szCs w:val="18"/>
          <w:lang w:val="es-ES"/>
        </w:rPr>
        <w:t>Las operaciones que se realicen por cuenta de los Fondos Comunes de Inversión con valores negociables públicos o privados bajo el régimen de oferta pública, deberán ser efectuadas exclusivamente en los Mercados autorizados, y en los términos que fije la CNV.</w:t>
      </w:r>
    </w:p>
    <w:p>
      <w:pPr>
        <w:pStyle w:val="Normal"/>
        <w:shd w:fill="FFFFFF" w:val="clear"/>
        <w:spacing w:lineRule="atLeast" w:line="240" w:before="120" w:after="120"/>
        <w:rPr>
          <w:rFonts w:ascii="Verdana" w:hAnsi="Verdana" w:cs="Verdana"/>
          <w:color w:val="000080"/>
          <w:sz w:val="18"/>
          <w:szCs w:val="18"/>
          <w:lang w:val="es-ES"/>
        </w:rPr>
      </w:pPr>
      <w:r>
        <w:rPr>
          <w:rFonts w:cs="Verdana" w:ascii="Verdana" w:hAnsi="Verdana"/>
          <w:color w:val="000080"/>
          <w:sz w:val="18"/>
          <w:szCs w:val="18"/>
          <w:lang w:val="es-ES"/>
        </w:rPr>
        <w:t>Quedan exceptuadas de esta disposición aquellas operaciones con valores negociables públicos o privados extranjeros que se negocien en mercados del exterior, los cuales deberán encontrarse debidamente autorizados por el organismo regulador actuante.</w:t>
      </w:r>
    </w:p>
    <w:p>
      <w:pPr>
        <w:pStyle w:val="Normal"/>
        <w:shd w:fill="FFFFFF" w:val="clear"/>
        <w:spacing w:lineRule="atLeast" w:line="240" w:before="120" w:after="120"/>
        <w:rPr>
          <w:rFonts w:ascii="Verdana" w:hAnsi="Verdana" w:cs="Verdana"/>
          <w:b/>
          <w:bCs/>
          <w:color w:val="000080"/>
          <w:sz w:val="18"/>
          <w:szCs w:val="18"/>
          <w:lang w:val="es-ES"/>
        </w:rPr>
      </w:pPr>
      <w:r>
        <w:rPr>
          <w:rFonts w:cs="Verdana" w:ascii="Verdana" w:hAnsi="Verdana"/>
          <w:b/>
          <w:bCs/>
          <w:color w:val="000080"/>
          <w:sz w:val="18"/>
          <w:szCs w:val="18"/>
          <w:lang w:val="es-ES"/>
        </w:rPr>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SECCION TERCERA: CONDUCTAS CONTRARIAS A LA TRANSPARENCIA</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1. PROHIBICION DE UTILIZAR INFORMACION PRIVILEGIADA</w:t>
      </w:r>
    </w:p>
    <w:p>
      <w:pPr>
        <w:pStyle w:val="Default"/>
        <w:jc w:val="both"/>
        <w:rPr/>
      </w:pPr>
      <w:r>
        <w:rPr>
          <w:rFonts w:cs="Verdana" w:ascii="Verdana" w:hAnsi="Verdana"/>
          <w:bCs/>
          <w:color w:val="000080"/>
          <w:sz w:val="18"/>
          <w:szCs w:val="18"/>
        </w:rPr>
        <w:t>Las Partes Participantes no utilizaran información reservada o no pública a fin de obtener para sí o para otros, ventajas de cualquier tipo, deriven ellas de la compra o venta de valores negociables</w:t>
      </w:r>
      <w:r>
        <w:rPr>
          <w:rFonts w:cs="Verdana" w:ascii="Verdana" w:hAnsi="Verdana"/>
          <w:color w:val="000080"/>
          <w:sz w:val="18"/>
          <w:szCs w:val="18"/>
        </w:rPr>
        <w:t xml:space="preserve">, o de cualquier otra operación relacionada con el régimen de la oferta pública. </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 xml:space="preserve">Se arbitrarán los medios razonables a fin de evitar que el personal o personas vinculadas a las referidas Partes Participantes puedan utilizar información reservada o no pública relacionadas con las inversiones realizadas por el Fondo Común de Inversión para beneficio personal.   </w:t>
      </w:r>
    </w:p>
    <w:p>
      <w:pPr>
        <w:pStyle w:val="Normal"/>
        <w:shd w:fill="FFFFFF" w:val="clear"/>
        <w:spacing w:lineRule="atLeast" w:line="240" w:before="120" w:after="120"/>
        <w:rPr/>
      </w:pPr>
      <w:r>
        <w:rPr>
          <w:rFonts w:cs="Verdana" w:ascii="Verdana" w:hAnsi="Verdana"/>
          <w:bCs/>
          <w:color w:val="000080"/>
          <w:sz w:val="18"/>
          <w:szCs w:val="18"/>
        </w:rPr>
        <w:t xml:space="preserve">Las Partes Participantes no podrán realizar por cuenta propia o ajena, directa o indirectamente, las siguientesacciones: </w:t>
      </w:r>
    </w:p>
    <w:p>
      <w:pPr>
        <w:pStyle w:val="Normal"/>
        <w:shd w:fill="FFFFFF" w:val="clear"/>
        <w:spacing w:lineRule="atLeast" w:line="240" w:before="120" w:after="120"/>
        <w:rPr>
          <w:rFonts w:ascii="Verdana" w:hAnsi="Verdana" w:cs="Verdana"/>
          <w:bCs/>
          <w:color w:val="000080"/>
          <w:sz w:val="18"/>
          <w:szCs w:val="18"/>
          <w:lang w:val="es-ES"/>
        </w:rPr>
      </w:pPr>
      <w:r>
        <w:rPr>
          <w:rFonts w:cs="Verdana" w:ascii="Verdana" w:hAnsi="Verdana"/>
          <w:bCs/>
          <w:color w:val="000080"/>
          <w:sz w:val="18"/>
          <w:szCs w:val="18"/>
          <w:lang w:val="es-ES"/>
        </w:rPr>
        <w:t>(I) Preparar, facilitar, tener participación o realizar cualquier tipo de operación en el mercado, sobre los valores negociables a que la información se refiera.</w:t>
      </w:r>
    </w:p>
    <w:p>
      <w:pPr>
        <w:pStyle w:val="Normal"/>
        <w:shd w:fill="FFFFFF" w:val="clear"/>
        <w:spacing w:lineRule="atLeast" w:line="240" w:before="120" w:after="120"/>
        <w:rPr>
          <w:rFonts w:ascii="Verdana" w:hAnsi="Verdana" w:cs="Verdana"/>
          <w:bCs/>
          <w:color w:val="000080"/>
          <w:sz w:val="18"/>
          <w:szCs w:val="18"/>
          <w:lang w:val="es-ES"/>
        </w:rPr>
      </w:pPr>
      <w:r>
        <w:rPr>
          <w:rFonts w:cs="Verdana" w:ascii="Verdana" w:hAnsi="Verdana"/>
          <w:bCs/>
          <w:color w:val="000080"/>
          <w:sz w:val="18"/>
          <w:szCs w:val="18"/>
          <w:lang w:val="es-ES"/>
        </w:rPr>
        <w:t>(II) Comunicar dicha información a terceros, salvo en el ejercicio normal de su trabajo, profesión, cargo o función.</w:t>
      </w:r>
    </w:p>
    <w:p>
      <w:pPr>
        <w:pStyle w:val="Normal"/>
        <w:shd w:fill="FFFFFF" w:val="clear"/>
        <w:spacing w:lineRule="atLeast" w:line="240" w:before="120" w:after="120"/>
        <w:rPr>
          <w:rFonts w:ascii="Verdana" w:hAnsi="Verdana" w:cs="Verdana"/>
          <w:bCs/>
          <w:color w:val="000080"/>
          <w:sz w:val="18"/>
          <w:szCs w:val="18"/>
          <w:lang w:val="es-ES"/>
        </w:rPr>
      </w:pPr>
      <w:r>
        <w:rPr>
          <w:rFonts w:cs="Verdana" w:ascii="Verdana" w:hAnsi="Verdana"/>
          <w:bCs/>
          <w:color w:val="000080"/>
          <w:sz w:val="18"/>
          <w:szCs w:val="18"/>
          <w:lang w:val="es-ES"/>
        </w:rPr>
        <w:t>(III) Recomendar a un tercero que adquiera o ceda valores negociables o que haga que otros los adquieran o cedan, basándose en dicha información.</w:t>
      </w:r>
    </w:p>
    <w:p>
      <w:pPr>
        <w:pStyle w:val="Normal"/>
        <w:shd w:fill="FFFFFF" w:val="clear"/>
        <w:spacing w:lineRule="atLeast" w:line="240" w:before="120" w:after="120"/>
        <w:rPr>
          <w:rFonts w:ascii="Verdana" w:hAnsi="Verdana" w:cs="Verdana"/>
          <w:b/>
          <w:bCs/>
          <w:color w:val="000080"/>
          <w:sz w:val="18"/>
          <w:szCs w:val="18"/>
          <w:lang w:val="es-ES"/>
        </w:rPr>
      </w:pPr>
      <w:r>
        <w:rPr>
          <w:rFonts w:cs="Verdana" w:ascii="Verdana" w:hAnsi="Verdana"/>
          <w:b/>
          <w:bCs/>
          <w:color w:val="000080"/>
          <w:sz w:val="18"/>
          <w:szCs w:val="18"/>
          <w:lang w:val="es-ES"/>
        </w:rPr>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2. MANIPULACION Y FRAUDE AL MERCADO</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Las Partes Participantes se abstendrán de:</w:t>
      </w:r>
    </w:p>
    <w:p>
      <w:pPr>
        <w:pStyle w:val="Normal"/>
        <w:shd w:fill="FFFFFF" w:val="clear"/>
        <w:spacing w:lineRule="atLeast" w:line="240" w:before="120" w:after="120"/>
        <w:rPr/>
      </w:pPr>
      <w:r>
        <w:rPr>
          <w:rFonts w:cs="Verdana" w:ascii="Verdana" w:hAnsi="Verdana"/>
          <w:bCs/>
          <w:color w:val="000080"/>
          <w:sz w:val="18"/>
          <w:szCs w:val="18"/>
        </w:rPr>
        <w:t>(I</w:t>
      </w:r>
      <w:r>
        <w:rPr>
          <w:rFonts w:cs="Verdana" w:ascii="Verdana" w:hAnsi="Verdana"/>
          <w:bCs/>
          <w:color w:val="000080"/>
          <w:sz w:val="18"/>
          <w:szCs w:val="18"/>
          <w:lang w:val="es-ES"/>
        </w:rPr>
        <w:t>) Realizar prácticas o conductas que pretendan o permitan la manipulación de precios o volúmenes de los valores negociables listados en Mercados.</w:t>
      </w:r>
    </w:p>
    <w:p>
      <w:pPr>
        <w:pStyle w:val="Normal"/>
        <w:shd w:fill="FFFFFF" w:val="clear"/>
        <w:spacing w:lineRule="atLeast" w:line="240" w:before="120" w:after="120"/>
        <w:rPr/>
      </w:pPr>
      <w:r>
        <w:rPr>
          <w:rFonts w:cs="Verdana" w:ascii="Verdana" w:hAnsi="Verdana"/>
          <w:bCs/>
          <w:color w:val="000080"/>
          <w:sz w:val="18"/>
          <w:szCs w:val="18"/>
          <w:lang w:val="es-ES"/>
        </w:rPr>
        <w:t>(II) Incurrir en prácticas o conductas engañosas que puedan inducir a error a cualquier participante en dichos mercados, en relación con la compra o venta de cualquier valor negociable en la oferta pública.</w:t>
      </w:r>
    </w:p>
    <w:p>
      <w:pPr>
        <w:pStyle w:val="Normal"/>
        <w:shd w:fill="FFFFFF" w:val="clear"/>
        <w:spacing w:lineRule="atLeast" w:line="240" w:before="120" w:after="120"/>
        <w:rPr>
          <w:rFonts w:ascii="Verdana" w:hAnsi="Verdana" w:cs="Verdana"/>
          <w:bCs/>
          <w:color w:val="000080"/>
          <w:sz w:val="18"/>
          <w:szCs w:val="18"/>
          <w:lang w:val="es-ES"/>
        </w:rPr>
      </w:pPr>
      <w:r>
        <w:rPr>
          <w:rFonts w:cs="Verdana" w:ascii="Verdana" w:hAnsi="Verdana"/>
          <w:bCs/>
          <w:color w:val="000080"/>
          <w:sz w:val="18"/>
          <w:szCs w:val="18"/>
          <w:lang w:val="es-ES"/>
        </w:rPr>
        <w:t>Las conductas anteriores incluyen, pero no se limitan a, cualquier acto, práctica o curso de acción mediante los cuales se pretenda:</w:t>
      </w:r>
    </w:p>
    <w:p>
      <w:pPr>
        <w:pStyle w:val="Normal"/>
        <w:shd w:fill="FFFFFF" w:val="clear"/>
        <w:spacing w:lineRule="atLeast" w:line="240" w:before="120" w:after="120"/>
        <w:rPr/>
      </w:pPr>
      <w:r>
        <w:rPr>
          <w:rFonts w:cs="Verdana" w:ascii="Verdana" w:hAnsi="Verdana"/>
          <w:bCs/>
          <w:color w:val="000080"/>
          <w:sz w:val="18"/>
          <w:szCs w:val="18"/>
          <w:lang w:val="es-ES"/>
        </w:rPr>
        <w:t>(III) Afectar artificialmente la formación de precios, liquidez o el volumen negociado de uno o más valores negociables. Ello incluye:</w:t>
      </w:r>
    </w:p>
    <w:p>
      <w:pPr>
        <w:pStyle w:val="Normal"/>
        <w:shd w:fill="FFFFFF" w:val="clear"/>
        <w:spacing w:lineRule="atLeast" w:line="240" w:before="120" w:after="120"/>
        <w:rPr/>
      </w:pPr>
      <w:r>
        <w:rPr>
          <w:rFonts w:cs="Verdana" w:ascii="Verdana" w:hAnsi="Verdana"/>
          <w:bCs/>
          <w:color w:val="000080"/>
          <w:sz w:val="18"/>
          <w:szCs w:val="18"/>
          <w:lang w:val="es-ES"/>
        </w:rPr>
        <w:t>(III.1) Transacciones en las que no se produzca, más allá de su apariencia, la transferencia de los valores negociables.</w:t>
      </w:r>
    </w:p>
    <w:p>
      <w:pPr>
        <w:pStyle w:val="Normal"/>
        <w:shd w:fill="FFFFFF" w:val="clear"/>
        <w:spacing w:lineRule="atLeast" w:line="240" w:before="120" w:after="120"/>
        <w:rPr/>
      </w:pPr>
      <w:r>
        <w:rPr>
          <w:rFonts w:cs="Verdana" w:ascii="Verdana" w:hAnsi="Verdana"/>
          <w:bCs/>
          <w:color w:val="000080"/>
          <w:sz w:val="18"/>
          <w:szCs w:val="18"/>
          <w:lang w:val="es-ES"/>
        </w:rPr>
        <w:t>(III.2) Transacciones efectuadas con el propósito de crear la apariencia falsa de existencia de oferta y demanda o de un mercado activo, aún cuando se produzca efectivamente la transferencia de los valores negociables.</w:t>
      </w:r>
    </w:p>
    <w:p>
      <w:pPr>
        <w:pStyle w:val="Normal"/>
        <w:shd w:fill="FFFFFF" w:val="clear"/>
        <w:spacing w:lineRule="atLeast" w:line="240" w:before="120" w:after="120"/>
        <w:rPr/>
      </w:pPr>
      <w:r>
        <w:rPr>
          <w:rFonts w:cs="Verdana" w:ascii="Verdana" w:hAnsi="Verdana"/>
          <w:bCs/>
          <w:color w:val="000080"/>
          <w:sz w:val="18"/>
          <w:szCs w:val="18"/>
          <w:lang w:val="es-ES"/>
        </w:rPr>
        <w:t>(IV) Inducir a error a cualquier interviniente en el mercado. Ello incluye:</w:t>
      </w:r>
    </w:p>
    <w:p>
      <w:pPr>
        <w:pStyle w:val="Normal"/>
        <w:shd w:fill="FFFFFF" w:val="clear"/>
        <w:spacing w:lineRule="atLeast" w:line="240" w:before="120" w:after="120"/>
        <w:rPr/>
      </w:pPr>
      <w:r>
        <w:rPr>
          <w:rFonts w:cs="Verdana" w:ascii="Verdana" w:hAnsi="Verdana"/>
          <w:bCs/>
          <w:color w:val="000080"/>
          <w:sz w:val="18"/>
          <w:szCs w:val="18"/>
          <w:lang w:val="es-ES"/>
        </w:rPr>
        <w:t>(IV.1)) Toda declaración falsa producida con conocimiento de su carácter inexacto o engañoso o que razonablemente debiera ser considerada como tal;</w:t>
      </w:r>
    </w:p>
    <w:p>
      <w:pPr>
        <w:pStyle w:val="Normal"/>
        <w:shd w:fill="FFFFFF" w:val="clear"/>
        <w:spacing w:lineRule="atLeast" w:line="240" w:before="120" w:after="120"/>
        <w:rPr/>
      </w:pPr>
      <w:r>
        <w:rPr>
          <w:rFonts w:cs="Verdana" w:ascii="Verdana" w:hAnsi="Verdana"/>
          <w:bCs/>
          <w:color w:val="000080"/>
          <w:sz w:val="18"/>
          <w:szCs w:val="18"/>
          <w:lang w:val="es-ES"/>
        </w:rPr>
        <w:t>(IV. 2) Toda omisión de información esencial susceptible de inducir a error por quienes se encuentran obligados a prestarla.</w:t>
      </w:r>
    </w:p>
    <w:p>
      <w:pPr>
        <w:pStyle w:val="Normal"/>
        <w:shd w:fill="FFFFFF" w:val="clear"/>
        <w:spacing w:lineRule="atLeast" w:line="240" w:before="120" w:after="120"/>
        <w:rPr>
          <w:rFonts w:ascii="Verdana" w:hAnsi="Verdana" w:cs="Verdana"/>
          <w:b/>
          <w:bCs/>
          <w:color w:val="000080"/>
          <w:sz w:val="18"/>
          <w:szCs w:val="18"/>
          <w:lang w:val="es-ES"/>
        </w:rPr>
      </w:pPr>
      <w:r>
        <w:rPr>
          <w:rFonts w:cs="Verdana" w:ascii="Verdana" w:hAnsi="Verdana"/>
          <w:b/>
          <w:bCs/>
          <w:color w:val="000080"/>
          <w:sz w:val="18"/>
          <w:szCs w:val="18"/>
          <w:lang w:val="es-ES"/>
        </w:rPr>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3. CONDICIONES MAS FAVORABLES PARA DETERMINADOS INVERSORES</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No se podrán celebrar acuerdos adicionales al Reglamento de Gestión con condiciones diferentes para inversores determinados.</w:t>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r>
    </w:p>
    <w:p>
      <w:pPr>
        <w:pStyle w:val="Normal"/>
        <w:shd w:fill="FFFFFF" w:val="clear"/>
        <w:spacing w:lineRule="atLeast" w:line="240" w:before="120" w:after="120"/>
        <w:rPr>
          <w:rFonts w:ascii="Verdana" w:hAnsi="Verdana" w:cs="Verdana"/>
          <w:b/>
          <w:bCs/>
          <w:color w:val="000080"/>
          <w:sz w:val="18"/>
          <w:szCs w:val="18"/>
        </w:rPr>
      </w:pPr>
      <w:r>
        <w:rPr>
          <w:rFonts w:cs="Verdana" w:ascii="Verdana" w:hAnsi="Verdana"/>
          <w:b/>
          <w:bCs/>
          <w:color w:val="000080"/>
          <w:sz w:val="18"/>
          <w:szCs w:val="18"/>
        </w:rPr>
        <w:t>4. CONFLICTOS DE INTERES Y OPERACIONES CON PARTES RELACIONADAS</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Las Partes Participantes evitarán involucrarse en posibles conflictos de interés que puedan surgir en la operatoria normal de Fondos Comunes de Inversión, en caso en que ello no sea posible, se deberá privilegiar siempre el interés común de los cuotapartistas por sobre cualquier interés particular.</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Al respecto los empleados de las Partes Participantes no podrán recibir bienes o beneficios, más allá de las actividades razonables de promoción, que puedan interpretarse como que fueron otorgados para influir en una decisión, transacción o negocio del Fondo Común de Inversión.</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Así tampoco podrán otorgarse bienes o beneficios más allá de las razonables acciones de promoción, a inversores o empleados de los mismos a fin de influir en una decisión de inversión.</w:t>
      </w:r>
    </w:p>
    <w:p>
      <w:pPr>
        <w:pStyle w:val="Normal"/>
        <w:shd w:fill="FFFFFF" w:val="clear"/>
        <w:spacing w:lineRule="atLeast" w:line="240" w:before="120" w:after="120"/>
        <w:rPr>
          <w:rFonts w:ascii="Verdana" w:hAnsi="Verdana" w:cs="Verdana"/>
          <w:bCs/>
          <w:color w:val="000080"/>
          <w:sz w:val="18"/>
          <w:szCs w:val="18"/>
        </w:rPr>
      </w:pPr>
      <w:r>
        <w:rPr>
          <w:rFonts w:cs="Verdana" w:ascii="Verdana" w:hAnsi="Verdana"/>
          <w:bCs/>
          <w:color w:val="000080"/>
          <w:sz w:val="18"/>
          <w:szCs w:val="18"/>
        </w:rPr>
        <w:t xml:space="preserve">Las operaciones con partes relacionadas deberán ser monitoreadas a fin de verificar que las mismas se realizaron bajo condiciones de mercado. </w:t>
      </w:r>
    </w:p>
    <w:sectPr>
      <w:footerReference w:type="default" r:id="rId3"/>
      <w:footerReference w:type="first" r:id="rId4"/>
      <w:type w:val="nextPage"/>
      <w:pgSz w:w="12240" w:h="15840"/>
      <w:pgMar w:left="1418" w:right="851" w:gutter="0" w:header="0" w:top="1134" w:footer="567" w:bottom="851"/>
      <w:pgNumType w:start="1" w:fmt="decimal"/>
      <w:formProt w:val="tru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Verdana">
    <w:charset w:val="00" w:characterSet="windows-1252"/>
    <w:family w:val="swiss"/>
    <w:pitch w:val="variable"/>
  </w:font>
  <w:font w:name="Liberation Sans">
    <w:altName w:val="Arial"/>
    <w:charset w:val="01" w:characterSet="utf-8"/>
    <w:family w:val="swiss"/>
    <w:pitch w:val="variable"/>
  </w:font>
  <w:font w:name="Garamond">
    <w:charset w:val="00" w:characterSet="windows-1252"/>
    <w:family w:val="roman"/>
    <w:pitch w:val="variable"/>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Style w:val="PageNumber"/>
        <w:rFonts w:cs="Arial" w:ascii="Arial" w:hAnsi="Arial"/>
        <w:sz w:val="18"/>
        <w:szCs w:val="18"/>
      </w:rPr>
      <w:t>20/01/2014</w:t>
      <w:tab/>
      <w:tab/>
    </w:r>
    <w:r>
      <w:rPr>
        <w:rStyle w:val="PageNumber"/>
        <w:rFonts w:cs="Arial" w:ascii="Arial" w:hAnsi="Arial"/>
        <w:sz w:val="18"/>
        <w:szCs w:val="18"/>
      </w:rPr>
      <w:fldChar w:fldCharType="begin"/>
    </w:r>
    <w:r>
      <w:rPr>
        <w:rStyle w:val="PageNumber"/>
        <w:sz w:val="18"/>
        <w:szCs w:val="18"/>
        <w:rFonts w:cs="Arial" w:ascii="Arial" w:hAnsi="Arial"/>
      </w:rPr>
      <w:instrText xml:space="preserve"> PAGE </w:instrText>
    </w:r>
    <w:r>
      <w:rPr>
        <w:rStyle w:val="PageNumber"/>
        <w:sz w:val="18"/>
        <w:szCs w:val="18"/>
        <w:rFonts w:cs="Arial" w:ascii="Arial" w:hAnsi="Arial"/>
      </w:rPr>
      <w:fldChar w:fldCharType="separate"/>
    </w:r>
    <w:r>
      <w:rPr>
        <w:rStyle w:val="PageNumber"/>
        <w:sz w:val="18"/>
        <w:szCs w:val="18"/>
        <w:rFonts w:cs="Arial" w:ascii="Arial" w:hAnsi="Arial"/>
      </w:rPr>
      <w:t>7</w:t>
    </w:r>
    <w:r>
      <w:rPr>
        <w:rStyle w:val="PageNumber"/>
        <w:sz w:val="18"/>
        <w:szCs w:val="18"/>
        <w:rFonts w:cs="Arial" w:ascii="Arial" w:hAnsi="Arial"/>
      </w:rPr>
      <w:fldChar w:fldCharType="end"/>
    </w:r>
    <w:r>
      <w:rPr>
        <w:rStyle w:val="PageNumber"/>
        <w:rFonts w:cs="Arial" w:ascii="Arial" w:hAnsi="Arial"/>
        <w:sz w:val="18"/>
        <w:szCs w:val="18"/>
      </w:rPr>
      <w:t xml:space="preserve"> de </w:t>
    </w:r>
    <w:r>
      <w:rPr>
        <w:rStyle w:val="PageNumber"/>
        <w:rFonts w:cs="Arial" w:ascii="Arial" w:hAnsi="Arial"/>
        <w:sz w:val="18"/>
        <w:szCs w:val="18"/>
      </w:rPr>
      <w:fldChar w:fldCharType="begin"/>
    </w:r>
    <w:r>
      <w:rPr>
        <w:rStyle w:val="PageNumber"/>
        <w:sz w:val="18"/>
        <w:szCs w:val="18"/>
        <w:rFonts w:cs="Arial" w:ascii="Arial" w:hAnsi="Arial"/>
      </w:rPr>
      <w:instrText xml:space="preserve"> NUMPAGES \* ARABIC </w:instrText>
    </w:r>
    <w:r>
      <w:rPr>
        <w:rStyle w:val="PageNumber"/>
        <w:sz w:val="18"/>
        <w:szCs w:val="18"/>
        <w:rFonts w:cs="Arial" w:ascii="Arial" w:hAnsi="Arial"/>
      </w:rPr>
      <w:fldChar w:fldCharType="separate"/>
    </w:r>
    <w:r>
      <w:rPr>
        <w:rStyle w:val="PageNumber"/>
        <w:sz w:val="18"/>
        <w:szCs w:val="18"/>
        <w:rFonts w:cs="Arial" w:ascii="Arial" w:hAnsi="Arial"/>
      </w:rPr>
      <w:t>7</w:t>
    </w:r>
    <w:r>
      <w:rPr>
        <w:rStyle w:val="PageNumber"/>
        <w:sz w:val="18"/>
        <w:szCs w:val="18"/>
        <w:rFonts w:cs="Arial" w:ascii="Arial" w:hAnsi="Arial"/>
      </w:rPr>
      <w:fldChar w:fldCharType="end"/>
    </w:r>
    <w:r>
      <mc:AlternateContent>
        <mc:Choice Requires="wps">
          <w:drawing>
            <wp:anchor behindDoc="0" distT="0" distB="0" distL="0" distR="0" simplePos="0" locked="0" layoutInCell="0" allowOverlap="1" relativeHeight="7">
              <wp:simplePos x="0" y="0"/>
              <wp:positionH relativeFrom="margin">
                <wp:align>center</wp:align>
              </wp:positionH>
              <wp:positionV relativeFrom="paragraph">
                <wp:posOffset>635</wp:posOffset>
              </wp:positionV>
              <wp:extent cx="14605" cy="228600"/>
              <wp:effectExtent l="0" t="0" r="0" b="0"/>
              <wp:wrapSquare wrapText="bothSides"/>
              <wp:docPr id="1" name="Frame1"/>
              <a:graphic xmlns:a="http://schemas.openxmlformats.org/drawingml/2006/main">
                <a:graphicData uri="http://schemas.microsoft.com/office/word/2010/wordprocessingShape">
                  <wps:wsp>
                    <wps:cNvSpPr txBox="1"/>
                    <wps:spPr>
                      <a:xfrm>
                        <a:off x="0" y="0"/>
                        <a:ext cx="14605" cy="228600"/>
                      </a:xfrm>
                      <a:prstGeom prst="rect"/>
                      <a:solidFill>
                        <a:srgbClr val="FFFFFF">
                          <a:alpha val="0"/>
                        </a:srgbClr>
                      </a:solidFill>
                    </wps:spPr>
                    <wps:txbx>
                      <w:txbxContent>
                        <w:p>
                          <w:pPr>
                            <w:pStyle w:val="Footer"/>
                            <w:jc w:val="end"/>
                            <w:rPr>
                              <w:rStyle w:val="PageNumber"/>
                            </w:rPr>
                          </w:pPr>
                          <w:r>
                            <w:rPr/>
                          </w:r>
                        </w:p>
                      </w:txbxContent>
                    </wps:txbx>
                    <wps:bodyPr anchor="t" lIns="0" tIns="0" rIns="0" bIns="0">
                      <a:noAutofit/>
                    </wps:bodyPr>
                  </wps:wsp>
                </a:graphicData>
              </a:graphic>
            </wp:anchor>
          </w:drawing>
        </mc:Choice>
        <mc:Fallback>
          <w:pict>
            <v:rect fillcolor="#FFFFFF" style="position:absolute;rotation:-0;width:1.15pt;height:18pt;mso-wrap-distance-left:0pt;mso-wrap-distance-right:0pt;mso-wrap-distance-top:0pt;mso-wrap-distance-bottom:0pt;margin-top:0.05pt;mso-position-vertical-relative:text;margin-left:248.7pt;mso-position-horizontal:center;mso-position-horizontal-relative:margin">
              <v:fill opacity="0f"/>
              <v:textbox inset="0in,0in,0in,0in">
                <w:txbxContent>
                  <w:p>
                    <w:pPr>
                      <w:pStyle w:val="Footer"/>
                      <w:jc w:val="end"/>
                      <w:rPr>
                        <w:rStyle w:val="PageNumber"/>
                      </w:rPr>
                    </w:pPr>
                    <w:r>
                      <w:rPr/>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Style w:val="PageNumber"/>
        <w:rFonts w:cs="Arial" w:ascii="Arial" w:hAnsi="Arial"/>
        <w:sz w:val="18"/>
        <w:szCs w:val="18"/>
      </w:rPr>
      <w:t>20/01/2014</w:t>
      <w:tab/>
      <w:tab/>
    </w:r>
    <w:r>
      <w:rPr>
        <w:rStyle w:val="PageNumber"/>
        <w:rFonts w:cs="Arial" w:ascii="Arial" w:hAnsi="Arial"/>
        <w:sz w:val="18"/>
        <w:szCs w:val="18"/>
      </w:rPr>
      <w:fldChar w:fldCharType="begin"/>
    </w:r>
    <w:r>
      <w:rPr>
        <w:rStyle w:val="PageNumber"/>
        <w:sz w:val="18"/>
        <w:szCs w:val="18"/>
        <w:rFonts w:cs="Arial" w:ascii="Arial" w:hAnsi="Arial"/>
      </w:rPr>
      <w:instrText xml:space="preserve"> PAGE </w:instrText>
    </w:r>
    <w:r>
      <w:rPr>
        <w:rStyle w:val="PageNumber"/>
        <w:sz w:val="18"/>
        <w:szCs w:val="18"/>
        <w:rFonts w:cs="Arial" w:ascii="Arial" w:hAnsi="Arial"/>
      </w:rPr>
      <w:fldChar w:fldCharType="separate"/>
    </w:r>
    <w:r>
      <w:rPr>
        <w:rStyle w:val="PageNumber"/>
        <w:sz w:val="18"/>
        <w:szCs w:val="18"/>
        <w:rFonts w:cs="Arial" w:ascii="Arial" w:hAnsi="Arial"/>
      </w:rPr>
      <w:t>1</w:t>
    </w:r>
    <w:r>
      <w:rPr>
        <w:rStyle w:val="PageNumber"/>
        <w:sz w:val="18"/>
        <w:szCs w:val="18"/>
        <w:rFonts w:cs="Arial" w:ascii="Arial" w:hAnsi="Arial"/>
      </w:rPr>
      <w:fldChar w:fldCharType="end"/>
    </w:r>
    <w:r>
      <w:rPr>
        <w:rStyle w:val="PageNumber"/>
        <w:rFonts w:cs="Arial" w:ascii="Arial" w:hAnsi="Arial"/>
        <w:sz w:val="18"/>
        <w:szCs w:val="18"/>
      </w:rPr>
      <w:t xml:space="preserve"> de </w:t>
    </w:r>
    <w:r>
      <w:rPr>
        <w:rStyle w:val="PageNumber"/>
        <w:rFonts w:cs="Arial" w:ascii="Arial" w:hAnsi="Arial"/>
        <w:sz w:val="18"/>
        <w:szCs w:val="18"/>
      </w:rPr>
      <w:fldChar w:fldCharType="begin"/>
    </w:r>
    <w:r>
      <w:rPr>
        <w:rStyle w:val="PageNumber"/>
        <w:sz w:val="18"/>
        <w:szCs w:val="18"/>
        <w:rFonts w:cs="Arial" w:ascii="Arial" w:hAnsi="Arial"/>
      </w:rPr>
      <w:instrText xml:space="preserve"> NUMPAGES \* ARABIC </w:instrText>
    </w:r>
    <w:r>
      <w:rPr>
        <w:rStyle w:val="PageNumber"/>
        <w:sz w:val="18"/>
        <w:szCs w:val="18"/>
        <w:rFonts w:cs="Arial" w:ascii="Arial" w:hAnsi="Arial"/>
      </w:rPr>
      <w:fldChar w:fldCharType="separate"/>
    </w:r>
    <w:r>
      <w:rPr>
        <w:rStyle w:val="PageNumber"/>
        <w:sz w:val="18"/>
        <w:szCs w:val="18"/>
        <w:rFonts w:cs="Arial" w:ascii="Arial" w:hAnsi="Arial"/>
      </w:rPr>
      <w:t>7</w:t>
    </w:r>
    <w:r>
      <w:rPr>
        <w:rStyle w:val="PageNumber"/>
        <w:sz w:val="18"/>
        <w:szCs w:val="18"/>
        <w:rFonts w:cs="Arial" w:ascii="Arial" w:hAnsi="Arial"/>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tLeast" w:line="360"/>
      <w:jc w:val="both"/>
      <w:textAlignment w:val="baseline"/>
    </w:pPr>
    <w:rPr>
      <w:rFonts w:ascii="Times New Roman" w:hAnsi="Times New Roman" w:eastAsia="Times New Roman" w:cs="Times New Roman"/>
      <w:color w:val="auto"/>
      <w:sz w:val="22"/>
      <w:szCs w:val="20"/>
      <w:lang w:val="es-AR" w:bidi="ar-SA" w:eastAsia="zh-CN"/>
    </w:rPr>
  </w:style>
  <w:style w:type="paragraph" w:styleId="Heading1">
    <w:name w:val="Heading 1"/>
    <w:basedOn w:val="Normal"/>
    <w:next w:val="Normal"/>
    <w:qFormat/>
    <w:pPr>
      <w:keepNext w:val="true"/>
      <w:numPr>
        <w:ilvl w:val="0"/>
        <w:numId w:val="1"/>
      </w:numPr>
      <w:pBdr>
        <w:top w:val="single" w:sz="4" w:space="1" w:color="000000"/>
        <w:left w:val="single" w:sz="4" w:space="4" w:color="000000"/>
        <w:bottom w:val="single" w:sz="4" w:space="1" w:color="000000"/>
        <w:right w:val="single" w:sz="4" w:space="4" w:color="000000"/>
      </w:pBdr>
      <w:jc w:val="center"/>
      <w:outlineLvl w:val="0"/>
    </w:pPr>
    <w:rPr>
      <w:rFonts w:ascii="Verdana" w:hAnsi="Verdana" w:cs="Verdana"/>
      <w:b/>
      <w:sz w:val="28"/>
      <w:szCs w:val="96"/>
    </w:rPr>
  </w:style>
  <w:style w:type="paragraph" w:styleId="Heading2">
    <w:name w:val="Heading 2"/>
    <w:basedOn w:val="Normal"/>
    <w:next w:val="Normal"/>
    <w:qFormat/>
    <w:pPr>
      <w:keepNext w:val="true"/>
      <w:numPr>
        <w:ilvl w:val="1"/>
        <w:numId w:val="1"/>
      </w:numPr>
      <w:shd w:fill="FFFFFF" w:val="clear"/>
      <w:spacing w:lineRule="atLeast" w:line="240" w:before="120" w:after="120"/>
      <w:outlineLvl w:val="1"/>
    </w:pPr>
    <w:rPr>
      <w:rFonts w:ascii="Verdana" w:hAnsi="Verdana" w:cs="Verdana"/>
      <w:b/>
      <w:bCs/>
      <w:color w:val="666666"/>
      <w:sz w:val="18"/>
      <w:szCs w:val="18"/>
    </w:rPr>
  </w:style>
  <w:style w:type="character" w:styleId="Fuentedeprrafopredeter">
    <w:name w:val="Fuente de párrafo predeter."/>
    <w:qFormat/>
    <w:rPr/>
  </w:style>
  <w:style w:type="character" w:styleId="PageNumber">
    <w:name w:val="Page Number"/>
    <w:basedOn w:val="Fuentedeprrafopredeter"/>
    <w:rPr/>
  </w:style>
  <w:style w:type="character" w:styleId="FootnoteCharacters">
    <w:name w:val="Footnote Characters"/>
    <w:basedOn w:val="Fuentedeprrafopredeter"/>
    <w:qFormat/>
    <w:rPr>
      <w:vertAlign w:val="superscript"/>
    </w:rPr>
  </w:style>
  <w:style w:type="character" w:styleId="Hyperlink">
    <w:name w:val="Hyperlink"/>
    <w:basedOn w:val="Fuentedeprrafopredeter"/>
    <w:rPr>
      <w:color w:val="0000FF"/>
      <w:u w:val="single"/>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hd w:fill="FFFFFF" w:val="clear"/>
      <w:spacing w:lineRule="atLeast" w:line="240" w:before="120" w:after="120"/>
    </w:pPr>
    <w:rPr>
      <w:rFonts w:ascii="Verdana" w:hAnsi="Verdana" w:cs="Verdana"/>
      <w:sz w:val="18"/>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252" w:leader="none"/>
        <w:tab w:val="right" w:pos="8504" w:leader="none"/>
      </w:tabs>
    </w:pPr>
    <w:rPr/>
  </w:style>
  <w:style w:type="paragraph" w:styleId="FootnoteText">
    <w:name w:val="Footnote Text"/>
    <w:basedOn w:val="Normal"/>
    <w:pPr>
      <w:tabs>
        <w:tab w:val="clear" w:pos="720"/>
        <w:tab w:val="left" w:pos="567" w:leader="none"/>
      </w:tabs>
      <w:spacing w:lineRule="exact" w:line="300" w:before="80" w:after="0"/>
      <w:ind w:hanging="567" w:start="567" w:end="0"/>
    </w:pPr>
    <w:rPr>
      <w:rFonts w:ascii="Garamond" w:hAnsi="Garamond" w:cs="Garamond"/>
      <w:szCs w:val="24"/>
      <w:lang w:val="es-ES"/>
    </w:rPr>
  </w:style>
  <w:style w:type="paragraph" w:styleId="Header">
    <w:name w:val="Header"/>
    <w:basedOn w:val="Normal"/>
    <w:pPr>
      <w:widowControl/>
      <w:tabs>
        <w:tab w:val="clear" w:pos="720"/>
        <w:tab w:val="center" w:pos="4252" w:leader="none"/>
        <w:tab w:val="right" w:pos="8504" w:leader="none"/>
      </w:tabs>
      <w:spacing w:lineRule="auto" w:line="240"/>
      <w:jc w:val="start"/>
      <w:textAlignment w:val="auto"/>
    </w:pPr>
    <w:rPr>
      <w:sz w:val="24"/>
      <w:szCs w:val="24"/>
      <w:lang w:val="es-ES"/>
    </w:rPr>
  </w:style>
  <w:style w:type="paragraph" w:styleId="BalloonText">
    <w:name w:val="Balloon Text"/>
    <w:basedOn w:val="Normal"/>
    <w:qFormat/>
    <w:pPr/>
    <w:rPr>
      <w:rFonts w:ascii="Tahoma" w:hAnsi="Tahoma" w:cs="Tahoma"/>
      <w:sz w:val="16"/>
      <w:szCs w:val="16"/>
    </w:rPr>
  </w:style>
  <w:style w:type="paragraph" w:styleId="Textoindependiente2">
    <w:name w:val="Texto independiente 2"/>
    <w:basedOn w:val="Normal"/>
    <w:qFormat/>
    <w:pPr/>
    <w:rPr>
      <w:rFonts w:ascii="Verdana" w:hAnsi="Verdana" w:cs="Verdana"/>
      <w:sz w:val="18"/>
    </w:rPr>
  </w:style>
  <w:style w:type="paragraph" w:styleId="Default">
    <w:name w:val="Default"/>
    <w:qFormat/>
    <w:pPr>
      <w:widowControl/>
      <w:autoSpaceDE w:val="false"/>
      <w:bidi w:val="0"/>
    </w:pPr>
    <w:rPr>
      <w:rFonts w:ascii="Arial" w:hAnsi="Arial" w:eastAsia="Times New Roman" w:cs="Arial"/>
      <w:color w:val="000000"/>
      <w:sz w:val="24"/>
      <w:szCs w:val="24"/>
      <w:lang w:val="es-ES" w:bidi="ar-SA" w:eastAsia="zh-CN"/>
    </w:rPr>
  </w:style>
  <w:style w:type="paragraph" w:styleId="Textodeglobo">
    <w:name w:val="Texto de globo"/>
    <w:basedOn w:val="Normal"/>
    <w:qFormat/>
    <w:pPr/>
    <w:rPr>
      <w:rFonts w:ascii="Tahoma" w:hAnsi="Tahoma" w:cs="Tahoma"/>
      <w:sz w:val="16"/>
      <w:szCs w:val="16"/>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nv.gob.ar/"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2014-01-21T12:10:00Z</dcterms:created>
  <dc:creator>DMG</dc:creator>
  <dc:description/>
  <cp:keywords/>
  <dc:language>en-US</dc:language>
  <cp:lastModifiedBy>Banco Patagonia</cp:lastModifiedBy>
  <cp:lastPrinted>2009-02-27T20:35:00Z</cp:lastPrinted>
  <dcterms:modified xsi:type="dcterms:W3CDTF">2014-01-21T13:18:00Z</dcterms:modified>
  <cp:revision>4</cp:revision>
  <dc:subject/>
  <dc:title>Código </dc:title>
</cp:coreProperties>
</file>