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1632" w:rsidRDefault="00000000" w14:paraId="1CDFEA04" w14:textId="47F6D142">
      <w:pPr>
        <w:spacing w:after="123" w:line="259" w:lineRule="auto"/>
        <w:ind w:left="-5"/>
        <w:jc w:val="left"/>
      </w:pPr>
      <w:r w:rsidRPr="40ADD3D4" w:rsidR="276418A5">
        <w:rPr>
          <w:b w:val="1"/>
          <w:bCs w:val="1"/>
          <w:color w:val="666666"/>
        </w:rPr>
        <w:t>BANCO PATAGONIA S.A. – PATAGONIA INVERSORA S.A.</w:t>
      </w:r>
      <w:r w:rsidRPr="40ADD3D4" w:rsidR="4A407E32">
        <w:rPr>
          <w:b w:val="1"/>
          <w:bCs w:val="1"/>
          <w:color w:val="666666"/>
        </w:rPr>
        <w:t>U</w:t>
      </w:r>
      <w:r w:rsidRPr="40ADD3D4" w:rsidR="276418A5">
        <w:rPr>
          <w:b w:val="1"/>
          <w:bCs w:val="1"/>
          <w:color w:val="666666"/>
        </w:rPr>
        <w:t xml:space="preserve"> S.G.F.C.I. </w:t>
      </w:r>
    </w:p>
    <w:p w:rsidR="00F51632" w:rsidRDefault="00000000" w14:paraId="552167E1" w14:textId="77777777">
      <w:pPr>
        <w:spacing w:after="123" w:line="259" w:lineRule="auto"/>
        <w:ind w:left="-5"/>
        <w:jc w:val="left"/>
      </w:pPr>
      <w:r>
        <w:rPr>
          <w:b/>
          <w:color w:val="666666"/>
        </w:rPr>
        <w:t xml:space="preserve">INFORME EXPLICATIVO DEL CODIGO DE PROTECCION AL INVERSOR  </w:t>
      </w:r>
    </w:p>
    <w:p w:rsidR="00F51632" w:rsidRDefault="00000000" w14:paraId="7D9B0710" w14:textId="77777777">
      <w:pPr>
        <w:spacing w:after="123" w:line="259" w:lineRule="auto"/>
        <w:ind w:left="-5"/>
        <w:jc w:val="left"/>
      </w:pPr>
      <w:r>
        <w:rPr>
          <w:b/>
          <w:color w:val="666666"/>
        </w:rPr>
        <w:t xml:space="preserve">EN FONDOS COMUNES DE INVERSION </w:t>
      </w:r>
    </w:p>
    <w:p w:rsidR="00F51632" w:rsidRDefault="00000000" w14:paraId="3F6AF955" w14:textId="77777777">
      <w:pPr>
        <w:spacing w:after="123" w:line="259" w:lineRule="auto"/>
        <w:ind w:left="0" w:firstLine="0"/>
        <w:jc w:val="left"/>
      </w:pPr>
      <w:r>
        <w:rPr>
          <w:b/>
          <w:color w:val="666666"/>
        </w:rPr>
        <w:t xml:space="preserve"> </w:t>
      </w:r>
    </w:p>
    <w:p w:rsidR="00F51632" w:rsidRDefault="00000000" w14:paraId="05EC09EC" w14:textId="77777777">
      <w:pPr>
        <w:pStyle w:val="Ttulo1"/>
        <w:ind w:left="210" w:hanging="225"/>
      </w:pPr>
      <w:r>
        <w:t xml:space="preserve">INTRODUCCION </w:t>
      </w:r>
    </w:p>
    <w:p w:rsidR="00F51632" w:rsidRDefault="00000000" w14:paraId="4B45669E" w14:textId="77777777">
      <w:pPr>
        <w:ind w:left="-5"/>
      </w:pPr>
      <w:r>
        <w:t xml:space="preserve">Este informe explicativo tiene por objeto brindar información sobre las normas de protección al inversor en el ámbito de los Fondos Comunes de Inversión (los “FCI”), en un lenguaje accesible para la generalidad de los inversores. </w:t>
      </w:r>
    </w:p>
    <w:p w:rsidR="00F51632" w:rsidRDefault="00000000" w14:paraId="407EAAF8" w14:textId="77777777">
      <w:pPr>
        <w:spacing w:after="121" w:line="263" w:lineRule="auto"/>
        <w:ind w:left="0" w:right="9" w:firstLine="0"/>
      </w:pPr>
      <w:r>
        <w:rPr>
          <w:b/>
          <w:i/>
        </w:rPr>
        <w:t xml:space="preserve">El presente informe se debe complementar con la lectura detallada del Código de Protección al Inversor y del Reglamento de Gestión en forma previa a la suscripción de </w:t>
      </w:r>
      <w:proofErr w:type="spellStart"/>
      <w:r>
        <w:rPr>
          <w:b/>
          <w:i/>
        </w:rPr>
        <w:t>cuotapartes</w:t>
      </w:r>
      <w:proofErr w:type="spellEnd"/>
      <w:r>
        <w:rPr>
          <w:b/>
          <w:i/>
        </w:rPr>
        <w:t xml:space="preserve"> en FCI. </w:t>
      </w:r>
    </w:p>
    <w:p w:rsidR="00F51632" w:rsidRDefault="00000000" w14:paraId="5671B154" w14:textId="77777777">
      <w:pPr>
        <w:spacing w:after="123" w:line="259" w:lineRule="auto"/>
        <w:ind w:left="0" w:firstLine="0"/>
        <w:jc w:val="left"/>
      </w:pPr>
      <w:r>
        <w:t xml:space="preserve"> </w:t>
      </w:r>
    </w:p>
    <w:p w:rsidR="00F51632" w:rsidRDefault="00000000" w14:paraId="62ACB70F" w14:textId="77777777">
      <w:pPr>
        <w:pStyle w:val="Ttulo1"/>
        <w:ind w:left="309" w:hanging="324"/>
      </w:pPr>
      <w:r>
        <w:t xml:space="preserve">PRINCIPIOS GENERALES Y VALORES </w:t>
      </w:r>
    </w:p>
    <w:p w:rsidR="00F51632" w:rsidRDefault="00000000" w14:paraId="16F7A899" w14:textId="77777777">
      <w:pPr>
        <w:ind w:left="-5"/>
      </w:pPr>
      <w:r>
        <w:t xml:space="preserve">La operatoria de FCI se rige por los principios de equidad y transparencia. Asimismo, la actuación de los administradores y representantes de los FCI se rige por los principios de lealtad, idoneidad y eficiencia; y sus decisiones se orientan al beneficio exclusivo de los intereses colectivos de los </w:t>
      </w:r>
      <w:proofErr w:type="spellStart"/>
      <w:r>
        <w:t>cuotapartistas</w:t>
      </w:r>
      <w:proofErr w:type="spellEnd"/>
      <w:r>
        <w:t xml:space="preserve">. </w:t>
      </w:r>
    </w:p>
    <w:p w:rsidR="00F51632" w:rsidRDefault="00000000" w14:paraId="360BA982" w14:textId="77777777">
      <w:pPr>
        <w:ind w:left="-5"/>
      </w:pPr>
      <w:r>
        <w:t xml:space="preserve">Los principios y valores señalados se aplican en el cumplimiento e interpretación de las disposiciones contractuales contempladas en el Reglamento de Gestión, las leyes y regulación aplicables a la operatoria de FCI y las políticas y procedimientos internos de las sociedades involucradas en la operatoria de FCI. </w:t>
      </w:r>
    </w:p>
    <w:p w:rsidR="00F51632" w:rsidRDefault="00000000" w14:paraId="7872B558" w14:textId="77777777">
      <w:pPr>
        <w:spacing w:after="124" w:line="259" w:lineRule="auto"/>
        <w:ind w:left="0" w:firstLine="0"/>
        <w:jc w:val="left"/>
      </w:pPr>
      <w:r>
        <w:rPr>
          <w:b/>
          <w:color w:val="666666"/>
        </w:rPr>
        <w:t xml:space="preserve"> </w:t>
      </w:r>
    </w:p>
    <w:p w:rsidR="00F51632" w:rsidRDefault="00000000" w14:paraId="63A3D7FE" w14:textId="77777777">
      <w:pPr>
        <w:pStyle w:val="Ttulo1"/>
        <w:ind w:left="407" w:hanging="422"/>
      </w:pPr>
      <w:r>
        <w:t xml:space="preserve">CONDUCTAS ESPECIALMENTE EXIGIDAS </w:t>
      </w:r>
    </w:p>
    <w:p w:rsidR="00F51632" w:rsidRDefault="00000000" w14:paraId="1FA22230" w14:textId="77777777">
      <w:pPr>
        <w:numPr>
          <w:ilvl w:val="0"/>
          <w:numId w:val="1"/>
        </w:numPr>
        <w:ind w:hanging="242"/>
      </w:pPr>
      <w:r>
        <w:t xml:space="preserve">Lealtad en la ejecución de las instrucciones dadas por los </w:t>
      </w:r>
      <w:proofErr w:type="spellStart"/>
      <w:r>
        <w:t>cuotapartistas</w:t>
      </w:r>
      <w:proofErr w:type="spellEnd"/>
      <w:r>
        <w:t xml:space="preserve">.  </w:t>
      </w:r>
    </w:p>
    <w:p w:rsidR="00F51632" w:rsidRDefault="00000000" w14:paraId="2A064908" w14:textId="77777777">
      <w:pPr>
        <w:spacing w:after="2"/>
        <w:ind w:left="-5"/>
      </w:pPr>
      <w:r>
        <w:t xml:space="preserve">Las instrucciones de los </w:t>
      </w:r>
      <w:proofErr w:type="spellStart"/>
      <w:r>
        <w:t>cuotapartistas</w:t>
      </w:r>
      <w:proofErr w:type="spellEnd"/>
      <w:r>
        <w:t xml:space="preserve"> se regirán por las disposiciones contempladas en el </w:t>
      </w:r>
    </w:p>
    <w:p w:rsidR="00F51632" w:rsidRDefault="00000000" w14:paraId="4E2C7738" w14:textId="77777777">
      <w:pPr>
        <w:ind w:left="-5"/>
      </w:pPr>
      <w:r>
        <w:t xml:space="preserve">Reglamento de Gestión. El cumplimiento de las instrucciones emitidas dentro del marco del Reglamento de Gestión se cumplirá con profesionalidad, buena fe, diligencia, lealtad y probidad. </w:t>
      </w:r>
    </w:p>
    <w:p w:rsidR="00F51632" w:rsidRDefault="00000000" w14:paraId="1AE68BD8" w14:textId="77777777">
      <w:pPr>
        <w:numPr>
          <w:ilvl w:val="0"/>
          <w:numId w:val="1"/>
        </w:numPr>
        <w:ind w:hanging="242"/>
      </w:pPr>
      <w:r>
        <w:t xml:space="preserve">Prevención de la manipulación del mercado. </w:t>
      </w:r>
    </w:p>
    <w:p w:rsidR="00F51632" w:rsidRDefault="00000000" w14:paraId="198F918C" w14:textId="77777777">
      <w:pPr>
        <w:ind w:left="-5"/>
      </w:pPr>
      <w:r>
        <w:t xml:space="preserve">Conforme lo señalado en el Código de Protección al Inversor, los FCI se abstendrán de prácticas o conductas que permitan la manipulación de precios o volúmenes de valores negociables y/o contratos de futuros u opciones. </w:t>
      </w:r>
    </w:p>
    <w:p w:rsidR="00F51632" w:rsidRDefault="00000000" w14:paraId="33CF648D" w14:textId="77777777">
      <w:pPr>
        <w:numPr>
          <w:ilvl w:val="0"/>
          <w:numId w:val="1"/>
        </w:numPr>
        <w:ind w:hanging="242"/>
      </w:pPr>
      <w:r>
        <w:t xml:space="preserve">Prevención del fraude. </w:t>
      </w:r>
    </w:p>
    <w:p w:rsidR="00F51632" w:rsidRDefault="00000000" w14:paraId="36515402" w14:textId="77777777">
      <w:pPr>
        <w:ind w:left="-5"/>
      </w:pPr>
      <w:r>
        <w:t xml:space="preserve">Los FCI deberán abstenerse de toda otra práctica o conducta susceptible de defraudar a cualquier persona física o jurídica participante en los mercados conforme lo también señalado en el Código de Protección al Inversor. </w:t>
      </w:r>
    </w:p>
    <w:p w:rsidR="00F51632" w:rsidRDefault="00000000" w14:paraId="6910A1F2" w14:textId="77777777">
      <w:pPr>
        <w:numPr>
          <w:ilvl w:val="0"/>
          <w:numId w:val="1"/>
        </w:numPr>
        <w:ind w:hanging="242"/>
      </w:pPr>
      <w:r>
        <w:t xml:space="preserve">Prohibición de utilizar información privilegiada. </w:t>
      </w:r>
    </w:p>
    <w:p w:rsidR="00F51632" w:rsidRDefault="00000000" w14:paraId="3E21BD38" w14:textId="77777777">
      <w:pPr>
        <w:ind w:left="-5"/>
      </w:pPr>
      <w:r>
        <w:t xml:space="preserve">Los FCI no utilizaran información no pública a fin de obtener para sí o para otros, ventajas de cualquier tipo, en las operaciones de inversión. </w:t>
      </w:r>
    </w:p>
    <w:p w:rsidR="00F51632" w:rsidRDefault="00000000" w14:paraId="2F64F44C" w14:textId="77777777">
      <w:pPr>
        <w:numPr>
          <w:ilvl w:val="0"/>
          <w:numId w:val="1"/>
        </w:numPr>
        <w:ind w:hanging="242"/>
      </w:pPr>
      <w:r>
        <w:t xml:space="preserve">Condiciones contractuales equitativas. </w:t>
      </w:r>
    </w:p>
    <w:p w:rsidR="00F51632" w:rsidRDefault="00000000" w14:paraId="4EFCD11D" w14:textId="77777777">
      <w:pPr>
        <w:ind w:left="-5"/>
      </w:pPr>
      <w:r>
        <w:t xml:space="preserve">Los FCI no otorgaran condiciones contractuales diferentes a las contempladas en el Reglamento de Gestión a ningún </w:t>
      </w:r>
      <w:proofErr w:type="spellStart"/>
      <w:r>
        <w:t>cuotapartista</w:t>
      </w:r>
      <w:proofErr w:type="spellEnd"/>
      <w:r>
        <w:t xml:space="preserve">. </w:t>
      </w:r>
    </w:p>
    <w:p w:rsidR="00F51632" w:rsidRDefault="00000000" w14:paraId="53EF26A4" w14:textId="77777777">
      <w:pPr>
        <w:numPr>
          <w:ilvl w:val="0"/>
          <w:numId w:val="1"/>
        </w:numPr>
        <w:ind w:hanging="242"/>
      </w:pPr>
      <w:r>
        <w:t xml:space="preserve">Tratamiento justo en operaciones con partes relacionadas. </w:t>
      </w:r>
    </w:p>
    <w:p w:rsidR="00F51632" w:rsidRDefault="00000000" w14:paraId="18AA4B01" w14:textId="77777777">
      <w:pPr>
        <w:ind w:left="-5"/>
      </w:pPr>
      <w:r>
        <w:t xml:space="preserve">Las operaciones con partes relacionadas se deberán realizar teniendo como objetivo el beneficio exclusivo de los intereses colectivos de los </w:t>
      </w:r>
      <w:proofErr w:type="spellStart"/>
      <w:r>
        <w:t>cuotapartistas</w:t>
      </w:r>
      <w:proofErr w:type="spellEnd"/>
      <w:r>
        <w:t xml:space="preserve">.  </w:t>
      </w:r>
    </w:p>
    <w:p w:rsidR="00F51632" w:rsidRDefault="00000000" w14:paraId="580C2EA4" w14:textId="77777777">
      <w:pPr>
        <w:spacing w:after="123" w:line="259" w:lineRule="auto"/>
        <w:ind w:left="0" w:firstLine="0"/>
        <w:jc w:val="left"/>
      </w:pPr>
      <w:r>
        <w:t xml:space="preserve"> </w:t>
      </w:r>
    </w:p>
    <w:p w:rsidR="00F51632" w:rsidRDefault="00000000" w14:paraId="66663C24" w14:textId="77777777">
      <w:pPr>
        <w:pStyle w:val="Ttulo1"/>
        <w:ind w:left="347" w:hanging="362"/>
      </w:pPr>
      <w:r>
        <w:lastRenderedPageBreak/>
        <w:t>CONDUCTAS PROHIBIDAS</w:t>
      </w:r>
      <w:r>
        <w:rPr>
          <w:b w:val="0"/>
          <w:color w:val="000000"/>
        </w:rPr>
        <w:t xml:space="preserve"> </w:t>
      </w:r>
    </w:p>
    <w:p w:rsidR="00F51632" w:rsidRDefault="00000000" w14:paraId="7B1E26DD" w14:textId="77777777">
      <w:pPr>
        <w:ind w:left="-5"/>
      </w:pPr>
      <w:r>
        <w:t xml:space="preserve">Las conductas contrarias a las leyes, principios, políticas y procedimientos internos harán aplicables las medidas disciplinarias correspondientes. </w:t>
      </w:r>
    </w:p>
    <w:p w:rsidR="00F51632" w:rsidRDefault="00000000" w14:paraId="4EC5DACE" w14:textId="77777777">
      <w:pPr>
        <w:ind w:left="-5"/>
      </w:pPr>
      <w:r>
        <w:t xml:space="preserve">Los </w:t>
      </w:r>
      <w:proofErr w:type="spellStart"/>
      <w:r>
        <w:t>cuotapartistas</w:t>
      </w:r>
      <w:proofErr w:type="spellEnd"/>
      <w:r>
        <w:t xml:space="preserve"> podrán realizar los reclamos y conductas que estimen pertinentes ante los órganos del FCI.  En caso de no recibir una respuesta satisfactoria, los </w:t>
      </w:r>
      <w:proofErr w:type="spellStart"/>
      <w:r>
        <w:t>cuotapartistas</w:t>
      </w:r>
      <w:proofErr w:type="spellEnd"/>
      <w:r>
        <w:t xml:space="preserve"> podrán formular sus reclamos ante la Comisión Nacional de Valores. </w:t>
      </w:r>
    </w:p>
    <w:p w:rsidR="00F51632" w:rsidRDefault="00000000" w14:paraId="1767E7AE" w14:textId="77777777">
      <w:pPr>
        <w:spacing w:after="123" w:line="259" w:lineRule="auto"/>
        <w:ind w:left="0" w:firstLine="0"/>
        <w:jc w:val="left"/>
      </w:pPr>
      <w:r>
        <w:t xml:space="preserve"> </w:t>
      </w:r>
    </w:p>
    <w:p w:rsidR="00F51632" w:rsidRDefault="00000000" w14:paraId="082FC5B2" w14:textId="77777777">
      <w:pPr>
        <w:pStyle w:val="Ttulo1"/>
        <w:ind w:left="249" w:hanging="264"/>
      </w:pPr>
      <w:r>
        <w:t xml:space="preserve">REGIMEN DE SANCIONES APLICABLES </w:t>
      </w:r>
    </w:p>
    <w:p w:rsidR="00F51632" w:rsidRDefault="00000000" w14:paraId="2BBFFC15" w14:textId="77777777">
      <w:pPr>
        <w:ind w:left="-5"/>
      </w:pPr>
      <w:r>
        <w:t xml:space="preserve">Las denuncias y reclamos realizados ante la Comisión Nacional de </w:t>
      </w:r>
      <w:proofErr w:type="gramStart"/>
      <w:r>
        <w:t>Valores,</w:t>
      </w:r>
      <w:proofErr w:type="gramEnd"/>
      <w:r>
        <w:t xml:space="preserve"> serán valoradas por dicho ente regulador y en caso de corresponder se instruirá el inicio de un sumario. </w:t>
      </w:r>
    </w:p>
    <w:p w:rsidR="00F51632" w:rsidRDefault="00000000" w14:paraId="7F3670DD" w14:textId="77777777">
      <w:pPr>
        <w:ind w:left="-5"/>
      </w:pPr>
      <w:r>
        <w:t xml:space="preserve">Si la conclusión del sumario determina la existencia de infracciones a disposiciones legales o reglamentarias por parte de los FCI o sus funcionarios responsables, se podrán aplicar las sanciones siguientes: </w:t>
      </w:r>
    </w:p>
    <w:p w:rsidR="00F51632" w:rsidRDefault="00000000" w14:paraId="6694DA2D" w14:textId="77777777">
      <w:pPr>
        <w:numPr>
          <w:ilvl w:val="0"/>
          <w:numId w:val="2"/>
        </w:numPr>
        <w:ind w:hanging="242"/>
      </w:pPr>
      <w:r>
        <w:t xml:space="preserve">Apercibimiento.  </w:t>
      </w:r>
    </w:p>
    <w:p w:rsidR="00F51632" w:rsidRDefault="00000000" w14:paraId="7782CEFB" w14:textId="77777777">
      <w:pPr>
        <w:numPr>
          <w:ilvl w:val="0"/>
          <w:numId w:val="2"/>
        </w:numPr>
        <w:ind w:hanging="242"/>
      </w:pPr>
      <w:r>
        <w:t xml:space="preserve">Multa.   </w:t>
      </w:r>
    </w:p>
    <w:p w:rsidR="00F51632" w:rsidRDefault="00000000" w14:paraId="704B5CD4" w14:textId="77777777">
      <w:pPr>
        <w:numPr>
          <w:ilvl w:val="0"/>
          <w:numId w:val="2"/>
        </w:numPr>
        <w:ind w:hanging="242"/>
      </w:pPr>
      <w:r>
        <w:t xml:space="preserve">Inhabilitación temporal para actuar.  </w:t>
      </w:r>
    </w:p>
    <w:p w:rsidR="00F51632" w:rsidRDefault="00000000" w14:paraId="163535B7" w14:textId="77777777">
      <w:pPr>
        <w:numPr>
          <w:ilvl w:val="0"/>
          <w:numId w:val="2"/>
        </w:numPr>
        <w:ind w:hanging="242"/>
      </w:pPr>
      <w:r>
        <w:t xml:space="preserve">Inhabilitación definitiva para actuar como órganos de FCI.  </w:t>
      </w:r>
    </w:p>
    <w:p w:rsidR="00F51632" w:rsidRDefault="00000000" w14:paraId="125A7B56" w14:textId="77777777">
      <w:pPr>
        <w:spacing w:after="123" w:line="259" w:lineRule="auto"/>
        <w:ind w:left="0" w:firstLine="0"/>
        <w:jc w:val="left"/>
      </w:pPr>
      <w:r>
        <w:t xml:space="preserve"> </w:t>
      </w:r>
    </w:p>
    <w:p w:rsidR="00F51632" w:rsidRDefault="00000000" w14:paraId="343A3B27" w14:textId="77777777">
      <w:pPr>
        <w:pStyle w:val="Ttulo1"/>
        <w:ind w:left="347" w:hanging="362"/>
      </w:pPr>
      <w:r>
        <w:t xml:space="preserve">DERECHOS DEL CLIENTE </w:t>
      </w:r>
    </w:p>
    <w:p w:rsidR="00F51632" w:rsidRDefault="00000000" w14:paraId="38FC27C0" w14:textId="77777777">
      <w:pPr>
        <w:ind w:left="-5"/>
      </w:pPr>
      <w:r>
        <w:t xml:space="preserve">Los </w:t>
      </w:r>
      <w:proofErr w:type="spellStart"/>
      <w:r>
        <w:t>cuotapartistas</w:t>
      </w:r>
      <w:proofErr w:type="spellEnd"/>
      <w:r>
        <w:t xml:space="preserve"> cuentan con los siguientes derechos: </w:t>
      </w:r>
    </w:p>
    <w:p w:rsidR="00F51632" w:rsidRDefault="00000000" w14:paraId="3C8DCFC2" w14:textId="77777777">
      <w:pPr>
        <w:numPr>
          <w:ilvl w:val="0"/>
          <w:numId w:val="3"/>
        </w:numPr>
        <w:ind w:hanging="242"/>
      </w:pPr>
      <w:r>
        <w:t xml:space="preserve">Derecho a una información adecuada y veraz. </w:t>
      </w:r>
    </w:p>
    <w:p w:rsidR="00F51632" w:rsidRDefault="00000000" w14:paraId="27682B9B" w14:textId="77777777">
      <w:pPr>
        <w:numPr>
          <w:ilvl w:val="0"/>
          <w:numId w:val="3"/>
        </w:numPr>
        <w:ind w:hanging="242"/>
      </w:pPr>
      <w:r>
        <w:t xml:space="preserve">Derecho a un trato justo conforme a las disposiciones del Reglamento de Gestión y a las leyes y regulaciones que aplican a la actividad. </w:t>
      </w:r>
    </w:p>
    <w:p w:rsidR="00F51632" w:rsidRDefault="00000000" w14:paraId="625DA2E3" w14:textId="77777777">
      <w:pPr>
        <w:numPr>
          <w:ilvl w:val="0"/>
          <w:numId w:val="3"/>
        </w:numPr>
        <w:ind w:hanging="242"/>
      </w:pPr>
      <w:r>
        <w:t xml:space="preserve">Derecho a formular las quejas y reclamos que estime pertinente en caso de que sus derechos se encuentren afectados. </w:t>
      </w:r>
    </w:p>
    <w:p w:rsidR="00F51632" w:rsidRDefault="00000000" w14:paraId="3D3EC68A" w14:textId="77777777">
      <w:pPr>
        <w:numPr>
          <w:ilvl w:val="0"/>
          <w:numId w:val="3"/>
        </w:numPr>
        <w:ind w:hanging="242"/>
      </w:pPr>
      <w:r>
        <w:t xml:space="preserve">Derecho al trato confidencial de la información relativa a las inversiones de los </w:t>
      </w:r>
      <w:proofErr w:type="spellStart"/>
      <w:r>
        <w:t>cuotapartistas</w:t>
      </w:r>
      <w:proofErr w:type="spellEnd"/>
      <w:r>
        <w:t xml:space="preserve">.  </w:t>
      </w:r>
    </w:p>
    <w:p w:rsidR="00F51632" w:rsidRDefault="00000000" w14:paraId="2C538170" w14:textId="77777777">
      <w:pPr>
        <w:spacing w:after="0" w:line="259" w:lineRule="auto"/>
        <w:ind w:left="0" w:firstLine="0"/>
        <w:jc w:val="left"/>
      </w:pPr>
      <w:r>
        <w:t xml:space="preserve"> </w:t>
      </w:r>
    </w:p>
    <w:tbl>
      <w:tblPr>
        <w:tblStyle w:val="TableGrid"/>
        <w:tblW w:w="8728" w:type="dxa"/>
        <w:tblInd w:w="-112" w:type="dxa"/>
        <w:tblCellMar>
          <w:top w:w="66" w:type="dxa"/>
          <w:left w:w="112" w:type="dxa"/>
          <w:bottom w:w="0" w:type="dxa"/>
          <w:right w:w="51" w:type="dxa"/>
        </w:tblCellMar>
        <w:tblLook w:val="04A0" w:firstRow="1" w:lastRow="0" w:firstColumn="1" w:lastColumn="0" w:noHBand="0" w:noVBand="1"/>
      </w:tblPr>
      <w:tblGrid>
        <w:gridCol w:w="8728"/>
      </w:tblGrid>
      <w:tr w:rsidR="00F51632" w14:paraId="0B514BA7" w14:textId="77777777">
        <w:trPr>
          <w:trHeight w:val="264"/>
        </w:trPr>
        <w:tc>
          <w:tcPr>
            <w:tcW w:w="8728" w:type="dxa"/>
            <w:tcBorders>
              <w:top w:val="single" w:color="000000" w:sz="4" w:space="0"/>
              <w:left w:val="single" w:color="000000" w:sz="4" w:space="0"/>
              <w:bottom w:val="nil"/>
              <w:right w:val="single" w:color="000000" w:sz="4" w:space="0"/>
            </w:tcBorders>
          </w:tcPr>
          <w:p w:rsidR="00F51632" w:rsidRDefault="00000000" w14:paraId="1A996F58" w14:textId="77777777">
            <w:pPr>
              <w:spacing w:after="0" w:line="259" w:lineRule="auto"/>
              <w:ind w:left="0" w:firstLine="0"/>
              <w:jc w:val="left"/>
            </w:pPr>
            <w:r>
              <w:rPr>
                <w:b/>
                <w:i/>
                <w:color w:val="666666"/>
              </w:rPr>
              <w:t xml:space="preserve">Las inversiones en cuotas del fondo no constituyen depósitos en BANCO </w:t>
            </w:r>
          </w:p>
        </w:tc>
      </w:tr>
      <w:tr w:rsidR="00F51632" w14:paraId="6EAF8570" w14:textId="77777777">
        <w:trPr>
          <w:trHeight w:val="240"/>
        </w:trPr>
        <w:tc>
          <w:tcPr>
            <w:tcW w:w="8728" w:type="dxa"/>
            <w:tcBorders>
              <w:top w:val="nil"/>
              <w:left w:val="single" w:color="000000" w:sz="4" w:space="0"/>
              <w:bottom w:val="nil"/>
              <w:right w:val="single" w:color="000000" w:sz="4" w:space="0"/>
            </w:tcBorders>
            <w:shd w:val="clear" w:color="auto" w:fill="FFFFFF"/>
          </w:tcPr>
          <w:p w:rsidR="00F51632" w:rsidRDefault="00000000" w14:paraId="48D0007D" w14:textId="77777777">
            <w:pPr>
              <w:spacing w:after="0" w:line="259" w:lineRule="auto"/>
              <w:ind w:left="0" w:firstLine="0"/>
              <w:jc w:val="left"/>
            </w:pPr>
            <w:r>
              <w:rPr>
                <w:b/>
                <w:i/>
                <w:color w:val="666666"/>
              </w:rPr>
              <w:t xml:space="preserve">PATAGONIA S.A., a los fines de la Ley de Entidades Financieras ni cuentan con </w:t>
            </w:r>
          </w:p>
        </w:tc>
      </w:tr>
      <w:tr w:rsidR="00F51632" w14:paraId="1597B546" w14:textId="77777777">
        <w:trPr>
          <w:trHeight w:val="241"/>
        </w:trPr>
        <w:tc>
          <w:tcPr>
            <w:tcW w:w="8728" w:type="dxa"/>
            <w:tcBorders>
              <w:top w:val="nil"/>
              <w:left w:val="single" w:color="000000" w:sz="4" w:space="0"/>
              <w:bottom w:val="nil"/>
              <w:right w:val="single" w:color="000000" w:sz="4" w:space="0"/>
            </w:tcBorders>
          </w:tcPr>
          <w:p w:rsidR="00F51632" w:rsidRDefault="00000000" w14:paraId="5E9F0535" w14:textId="77777777">
            <w:pPr>
              <w:spacing w:after="0" w:line="259" w:lineRule="auto"/>
              <w:ind w:left="0" w:firstLine="0"/>
              <w:jc w:val="left"/>
            </w:pPr>
            <w:r>
              <w:rPr>
                <w:b/>
                <w:i/>
                <w:color w:val="666666"/>
              </w:rPr>
              <w:t xml:space="preserve">ninguna de las garantías que tales depósitos a la vista o a plazo puedan gozar de </w:t>
            </w:r>
          </w:p>
        </w:tc>
      </w:tr>
      <w:tr w:rsidR="00F51632" w14:paraId="626ECEFB" w14:textId="77777777">
        <w:trPr>
          <w:trHeight w:val="1465"/>
        </w:trPr>
        <w:tc>
          <w:tcPr>
            <w:tcW w:w="8728" w:type="dxa"/>
            <w:tcBorders>
              <w:top w:val="nil"/>
              <w:left w:val="single" w:color="000000" w:sz="4" w:space="0"/>
              <w:bottom w:val="single" w:color="000000" w:sz="4" w:space="0"/>
              <w:right w:val="single" w:color="000000" w:sz="4" w:space="0"/>
            </w:tcBorders>
            <w:shd w:val="clear" w:color="auto" w:fill="FFFFFF"/>
          </w:tcPr>
          <w:p w:rsidR="00F51632" w:rsidRDefault="00000000" w14:paraId="7811EAEF" w14:textId="77777777">
            <w:pPr>
              <w:spacing w:after="0" w:line="259" w:lineRule="auto"/>
              <w:ind w:left="0" w:right="63" w:firstLine="0"/>
            </w:pPr>
            <w:r>
              <w:rPr>
                <w:b/>
                <w:i/>
                <w:color w:val="666666"/>
              </w:rPr>
              <w:t xml:space="preserve">acuerdo a la legislación y reglamentación aplicables en materia de depósitos en entidades financieras.  Asimismo, BANCO PATAGONIA S.A. se encuentra impedida por normas del Banco Central de la República Argentina de asumir, tácita o expresamente, compromiso alguno en cuanto al mantenimiento, en cualquier momento, del valor del capital invertido, al rendimiento, al valor de rescate de las </w:t>
            </w:r>
            <w:proofErr w:type="spellStart"/>
            <w:r>
              <w:rPr>
                <w:b/>
                <w:i/>
                <w:color w:val="666666"/>
              </w:rPr>
              <w:t>cuotapartes</w:t>
            </w:r>
            <w:proofErr w:type="spellEnd"/>
            <w:r>
              <w:rPr>
                <w:b/>
                <w:i/>
                <w:color w:val="666666"/>
              </w:rPr>
              <w:t xml:space="preserve"> o al otorgamiento de liquidez a tal fin. </w:t>
            </w:r>
          </w:p>
        </w:tc>
      </w:tr>
    </w:tbl>
    <w:p w:rsidR="00F51632" w:rsidRDefault="00000000" w14:paraId="50074C46" w14:textId="77777777">
      <w:pPr>
        <w:spacing w:after="2661" w:line="259" w:lineRule="auto"/>
        <w:ind w:left="0" w:firstLine="0"/>
        <w:jc w:val="left"/>
      </w:pPr>
      <w:r>
        <w:t xml:space="preserve"> </w:t>
      </w:r>
    </w:p>
    <w:p w:rsidR="00F51632" w:rsidRDefault="00000000" w14:paraId="4305F225" w14:textId="77777777">
      <w:pPr>
        <w:spacing w:after="0" w:line="259" w:lineRule="auto"/>
        <w:ind w:left="0" w:firstLine="0"/>
        <w:jc w:val="left"/>
      </w:pPr>
      <w:r>
        <w:rPr>
          <w:rFonts w:ascii="Times New Roman" w:hAnsi="Times New Roman" w:eastAsia="Times New Roman" w:cs="Times New Roman"/>
          <w:sz w:val="22"/>
        </w:rPr>
        <w:t xml:space="preserve"> </w:t>
      </w:r>
    </w:p>
    <w:sectPr w:rsidR="00F51632">
      <w:pgSz w:w="11906" w:h="16838" w:orient="portrait"/>
      <w:pgMar w:top="1485" w:right="1696" w:bottom="569"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80A81"/>
    <w:multiLevelType w:val="hybridMultilevel"/>
    <w:tmpl w:val="A1BE7E98"/>
    <w:lvl w:ilvl="0" w:tplc="2A3451B6">
      <w:start w:val="1"/>
      <w:numFmt w:val="decimal"/>
      <w:lvlText w:val="%1."/>
      <w:lvlJc w:val="left"/>
      <w:pPr>
        <w:ind w:left="242"/>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1" w:tplc="24A07DDC">
      <w:start w:val="1"/>
      <w:numFmt w:val="lowerLetter"/>
      <w:lvlText w:val="%2"/>
      <w:lvlJc w:val="left"/>
      <w:pPr>
        <w:ind w:left="108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2" w:tplc="CE7AD6AC">
      <w:start w:val="1"/>
      <w:numFmt w:val="lowerRoman"/>
      <w:lvlText w:val="%3"/>
      <w:lvlJc w:val="left"/>
      <w:pPr>
        <w:ind w:left="180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3" w:tplc="161C8D66">
      <w:start w:val="1"/>
      <w:numFmt w:val="decimal"/>
      <w:lvlText w:val="%4"/>
      <w:lvlJc w:val="left"/>
      <w:pPr>
        <w:ind w:left="252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4" w:tplc="0A70C566">
      <w:start w:val="1"/>
      <w:numFmt w:val="lowerLetter"/>
      <w:lvlText w:val="%5"/>
      <w:lvlJc w:val="left"/>
      <w:pPr>
        <w:ind w:left="324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5" w:tplc="94FE4C64">
      <w:start w:val="1"/>
      <w:numFmt w:val="lowerRoman"/>
      <w:lvlText w:val="%6"/>
      <w:lvlJc w:val="left"/>
      <w:pPr>
        <w:ind w:left="396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6" w:tplc="13D066B4">
      <w:start w:val="1"/>
      <w:numFmt w:val="decimal"/>
      <w:lvlText w:val="%7"/>
      <w:lvlJc w:val="left"/>
      <w:pPr>
        <w:ind w:left="468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7" w:tplc="8A069982">
      <w:start w:val="1"/>
      <w:numFmt w:val="lowerLetter"/>
      <w:lvlText w:val="%8"/>
      <w:lvlJc w:val="left"/>
      <w:pPr>
        <w:ind w:left="540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8" w:tplc="999A1BD2">
      <w:start w:val="1"/>
      <w:numFmt w:val="lowerRoman"/>
      <w:lvlText w:val="%9"/>
      <w:lvlJc w:val="left"/>
      <w:pPr>
        <w:ind w:left="612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abstractNum>
  <w:abstractNum w:abstractNumId="1" w15:restartNumberingAfterBreak="0">
    <w:nsid w:val="204C32AC"/>
    <w:multiLevelType w:val="hybridMultilevel"/>
    <w:tmpl w:val="47BA4020"/>
    <w:lvl w:ilvl="0" w:tplc="6F1E5EC2">
      <w:start w:val="1"/>
      <w:numFmt w:val="decimal"/>
      <w:lvlText w:val="%1."/>
      <w:lvlJc w:val="left"/>
      <w:pPr>
        <w:ind w:left="242"/>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1" w:tplc="BB8C7C46">
      <w:start w:val="1"/>
      <w:numFmt w:val="lowerLetter"/>
      <w:lvlText w:val="%2"/>
      <w:lvlJc w:val="left"/>
      <w:pPr>
        <w:ind w:left="108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2" w:tplc="182A605A">
      <w:start w:val="1"/>
      <w:numFmt w:val="lowerRoman"/>
      <w:lvlText w:val="%3"/>
      <w:lvlJc w:val="left"/>
      <w:pPr>
        <w:ind w:left="180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3" w:tplc="EE606422">
      <w:start w:val="1"/>
      <w:numFmt w:val="decimal"/>
      <w:lvlText w:val="%4"/>
      <w:lvlJc w:val="left"/>
      <w:pPr>
        <w:ind w:left="252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4" w:tplc="FEE43B5A">
      <w:start w:val="1"/>
      <w:numFmt w:val="lowerLetter"/>
      <w:lvlText w:val="%5"/>
      <w:lvlJc w:val="left"/>
      <w:pPr>
        <w:ind w:left="324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5" w:tplc="4BCA0DA8">
      <w:start w:val="1"/>
      <w:numFmt w:val="lowerRoman"/>
      <w:lvlText w:val="%6"/>
      <w:lvlJc w:val="left"/>
      <w:pPr>
        <w:ind w:left="396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6" w:tplc="43CC3DDA">
      <w:start w:val="1"/>
      <w:numFmt w:val="decimal"/>
      <w:lvlText w:val="%7"/>
      <w:lvlJc w:val="left"/>
      <w:pPr>
        <w:ind w:left="468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7" w:tplc="474E123C">
      <w:start w:val="1"/>
      <w:numFmt w:val="lowerLetter"/>
      <w:lvlText w:val="%8"/>
      <w:lvlJc w:val="left"/>
      <w:pPr>
        <w:ind w:left="540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8" w:tplc="EED4E86A">
      <w:start w:val="1"/>
      <w:numFmt w:val="lowerRoman"/>
      <w:lvlText w:val="%9"/>
      <w:lvlJc w:val="left"/>
      <w:pPr>
        <w:ind w:left="612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abstractNum>
  <w:abstractNum w:abstractNumId="2" w15:restartNumberingAfterBreak="0">
    <w:nsid w:val="45AA5568"/>
    <w:multiLevelType w:val="hybridMultilevel"/>
    <w:tmpl w:val="71648182"/>
    <w:lvl w:ilvl="0" w:tplc="E0B63F46">
      <w:start w:val="1"/>
      <w:numFmt w:val="upperRoman"/>
      <w:pStyle w:val="Ttulo1"/>
      <w:lvlText w:val="%1."/>
      <w:lvlJc w:val="left"/>
      <w:pPr>
        <w:ind w:left="0"/>
      </w:pPr>
      <w:rPr>
        <w:rFonts w:ascii="Verdana" w:hAnsi="Verdana" w:eastAsia="Verdana" w:cs="Verdana"/>
        <w:b/>
        <w:bCs/>
        <w:i w:val="0"/>
        <w:strike w:val="0"/>
        <w:dstrike w:val="0"/>
        <w:color w:val="666666"/>
        <w:sz w:val="18"/>
        <w:szCs w:val="18"/>
        <w:u w:val="none" w:color="000000"/>
        <w:bdr w:val="none" w:color="auto" w:sz="0" w:space="0"/>
        <w:shd w:val="clear" w:color="auto" w:fill="auto"/>
        <w:vertAlign w:val="baseline"/>
      </w:rPr>
    </w:lvl>
    <w:lvl w:ilvl="1" w:tplc="B45EED68">
      <w:start w:val="1"/>
      <w:numFmt w:val="lowerLetter"/>
      <w:lvlText w:val="%2"/>
      <w:lvlJc w:val="left"/>
      <w:pPr>
        <w:ind w:left="1080"/>
      </w:pPr>
      <w:rPr>
        <w:rFonts w:ascii="Verdana" w:hAnsi="Verdana" w:eastAsia="Verdana" w:cs="Verdana"/>
        <w:b/>
        <w:bCs/>
        <w:i w:val="0"/>
        <w:strike w:val="0"/>
        <w:dstrike w:val="0"/>
        <w:color w:val="666666"/>
        <w:sz w:val="18"/>
        <w:szCs w:val="18"/>
        <w:u w:val="none" w:color="000000"/>
        <w:bdr w:val="none" w:color="auto" w:sz="0" w:space="0"/>
        <w:shd w:val="clear" w:color="auto" w:fill="auto"/>
        <w:vertAlign w:val="baseline"/>
      </w:rPr>
    </w:lvl>
    <w:lvl w:ilvl="2" w:tplc="777A0DB8">
      <w:start w:val="1"/>
      <w:numFmt w:val="lowerRoman"/>
      <w:lvlText w:val="%3"/>
      <w:lvlJc w:val="left"/>
      <w:pPr>
        <w:ind w:left="1800"/>
      </w:pPr>
      <w:rPr>
        <w:rFonts w:ascii="Verdana" w:hAnsi="Verdana" w:eastAsia="Verdana" w:cs="Verdana"/>
        <w:b/>
        <w:bCs/>
        <w:i w:val="0"/>
        <w:strike w:val="0"/>
        <w:dstrike w:val="0"/>
        <w:color w:val="666666"/>
        <w:sz w:val="18"/>
        <w:szCs w:val="18"/>
        <w:u w:val="none" w:color="000000"/>
        <w:bdr w:val="none" w:color="auto" w:sz="0" w:space="0"/>
        <w:shd w:val="clear" w:color="auto" w:fill="auto"/>
        <w:vertAlign w:val="baseline"/>
      </w:rPr>
    </w:lvl>
    <w:lvl w:ilvl="3" w:tplc="8CBCA850">
      <w:start w:val="1"/>
      <w:numFmt w:val="decimal"/>
      <w:lvlText w:val="%4"/>
      <w:lvlJc w:val="left"/>
      <w:pPr>
        <w:ind w:left="2520"/>
      </w:pPr>
      <w:rPr>
        <w:rFonts w:ascii="Verdana" w:hAnsi="Verdana" w:eastAsia="Verdana" w:cs="Verdana"/>
        <w:b/>
        <w:bCs/>
        <w:i w:val="0"/>
        <w:strike w:val="0"/>
        <w:dstrike w:val="0"/>
        <w:color w:val="666666"/>
        <w:sz w:val="18"/>
        <w:szCs w:val="18"/>
        <w:u w:val="none" w:color="000000"/>
        <w:bdr w:val="none" w:color="auto" w:sz="0" w:space="0"/>
        <w:shd w:val="clear" w:color="auto" w:fill="auto"/>
        <w:vertAlign w:val="baseline"/>
      </w:rPr>
    </w:lvl>
    <w:lvl w:ilvl="4" w:tplc="75222E9A">
      <w:start w:val="1"/>
      <w:numFmt w:val="lowerLetter"/>
      <w:lvlText w:val="%5"/>
      <w:lvlJc w:val="left"/>
      <w:pPr>
        <w:ind w:left="3240"/>
      </w:pPr>
      <w:rPr>
        <w:rFonts w:ascii="Verdana" w:hAnsi="Verdana" w:eastAsia="Verdana" w:cs="Verdana"/>
        <w:b/>
        <w:bCs/>
        <w:i w:val="0"/>
        <w:strike w:val="0"/>
        <w:dstrike w:val="0"/>
        <w:color w:val="666666"/>
        <w:sz w:val="18"/>
        <w:szCs w:val="18"/>
        <w:u w:val="none" w:color="000000"/>
        <w:bdr w:val="none" w:color="auto" w:sz="0" w:space="0"/>
        <w:shd w:val="clear" w:color="auto" w:fill="auto"/>
        <w:vertAlign w:val="baseline"/>
      </w:rPr>
    </w:lvl>
    <w:lvl w:ilvl="5" w:tplc="2380620C">
      <w:start w:val="1"/>
      <w:numFmt w:val="lowerRoman"/>
      <w:lvlText w:val="%6"/>
      <w:lvlJc w:val="left"/>
      <w:pPr>
        <w:ind w:left="3960"/>
      </w:pPr>
      <w:rPr>
        <w:rFonts w:ascii="Verdana" w:hAnsi="Verdana" w:eastAsia="Verdana" w:cs="Verdana"/>
        <w:b/>
        <w:bCs/>
        <w:i w:val="0"/>
        <w:strike w:val="0"/>
        <w:dstrike w:val="0"/>
        <w:color w:val="666666"/>
        <w:sz w:val="18"/>
        <w:szCs w:val="18"/>
        <w:u w:val="none" w:color="000000"/>
        <w:bdr w:val="none" w:color="auto" w:sz="0" w:space="0"/>
        <w:shd w:val="clear" w:color="auto" w:fill="auto"/>
        <w:vertAlign w:val="baseline"/>
      </w:rPr>
    </w:lvl>
    <w:lvl w:ilvl="6" w:tplc="EFCCF65E">
      <w:start w:val="1"/>
      <w:numFmt w:val="decimal"/>
      <w:lvlText w:val="%7"/>
      <w:lvlJc w:val="left"/>
      <w:pPr>
        <w:ind w:left="4680"/>
      </w:pPr>
      <w:rPr>
        <w:rFonts w:ascii="Verdana" w:hAnsi="Verdana" w:eastAsia="Verdana" w:cs="Verdana"/>
        <w:b/>
        <w:bCs/>
        <w:i w:val="0"/>
        <w:strike w:val="0"/>
        <w:dstrike w:val="0"/>
        <w:color w:val="666666"/>
        <w:sz w:val="18"/>
        <w:szCs w:val="18"/>
        <w:u w:val="none" w:color="000000"/>
        <w:bdr w:val="none" w:color="auto" w:sz="0" w:space="0"/>
        <w:shd w:val="clear" w:color="auto" w:fill="auto"/>
        <w:vertAlign w:val="baseline"/>
      </w:rPr>
    </w:lvl>
    <w:lvl w:ilvl="7" w:tplc="3022CCE0">
      <w:start w:val="1"/>
      <w:numFmt w:val="lowerLetter"/>
      <w:lvlText w:val="%8"/>
      <w:lvlJc w:val="left"/>
      <w:pPr>
        <w:ind w:left="5400"/>
      </w:pPr>
      <w:rPr>
        <w:rFonts w:ascii="Verdana" w:hAnsi="Verdana" w:eastAsia="Verdana" w:cs="Verdana"/>
        <w:b/>
        <w:bCs/>
        <w:i w:val="0"/>
        <w:strike w:val="0"/>
        <w:dstrike w:val="0"/>
        <w:color w:val="666666"/>
        <w:sz w:val="18"/>
        <w:szCs w:val="18"/>
        <w:u w:val="none" w:color="000000"/>
        <w:bdr w:val="none" w:color="auto" w:sz="0" w:space="0"/>
        <w:shd w:val="clear" w:color="auto" w:fill="auto"/>
        <w:vertAlign w:val="baseline"/>
      </w:rPr>
    </w:lvl>
    <w:lvl w:ilvl="8" w:tplc="290E4FD4">
      <w:start w:val="1"/>
      <w:numFmt w:val="lowerRoman"/>
      <w:lvlText w:val="%9"/>
      <w:lvlJc w:val="left"/>
      <w:pPr>
        <w:ind w:left="6120"/>
      </w:pPr>
      <w:rPr>
        <w:rFonts w:ascii="Verdana" w:hAnsi="Verdana" w:eastAsia="Verdana" w:cs="Verdana"/>
        <w:b/>
        <w:bCs/>
        <w:i w:val="0"/>
        <w:strike w:val="0"/>
        <w:dstrike w:val="0"/>
        <w:color w:val="666666"/>
        <w:sz w:val="18"/>
        <w:szCs w:val="18"/>
        <w:u w:val="none" w:color="000000"/>
        <w:bdr w:val="none" w:color="auto" w:sz="0" w:space="0"/>
        <w:shd w:val="clear" w:color="auto" w:fill="auto"/>
        <w:vertAlign w:val="baseline"/>
      </w:rPr>
    </w:lvl>
  </w:abstractNum>
  <w:abstractNum w:abstractNumId="3" w15:restartNumberingAfterBreak="0">
    <w:nsid w:val="6B5728BD"/>
    <w:multiLevelType w:val="hybridMultilevel"/>
    <w:tmpl w:val="115C5D52"/>
    <w:lvl w:ilvl="0" w:tplc="AF0E5EAE">
      <w:start w:val="1"/>
      <w:numFmt w:val="decimal"/>
      <w:lvlText w:val="%1."/>
      <w:lvlJc w:val="left"/>
      <w:pPr>
        <w:ind w:left="242"/>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1" w:tplc="B9D808EC">
      <w:start w:val="1"/>
      <w:numFmt w:val="lowerLetter"/>
      <w:lvlText w:val="%2"/>
      <w:lvlJc w:val="left"/>
      <w:pPr>
        <w:ind w:left="108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2" w:tplc="C42096D0">
      <w:start w:val="1"/>
      <w:numFmt w:val="lowerRoman"/>
      <w:lvlText w:val="%3"/>
      <w:lvlJc w:val="left"/>
      <w:pPr>
        <w:ind w:left="180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3" w:tplc="42F29F06">
      <w:start w:val="1"/>
      <w:numFmt w:val="decimal"/>
      <w:lvlText w:val="%4"/>
      <w:lvlJc w:val="left"/>
      <w:pPr>
        <w:ind w:left="252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4" w:tplc="27ECD1FA">
      <w:start w:val="1"/>
      <w:numFmt w:val="lowerLetter"/>
      <w:lvlText w:val="%5"/>
      <w:lvlJc w:val="left"/>
      <w:pPr>
        <w:ind w:left="324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5" w:tplc="DD42B270">
      <w:start w:val="1"/>
      <w:numFmt w:val="lowerRoman"/>
      <w:lvlText w:val="%6"/>
      <w:lvlJc w:val="left"/>
      <w:pPr>
        <w:ind w:left="396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6" w:tplc="06B0D48A">
      <w:start w:val="1"/>
      <w:numFmt w:val="decimal"/>
      <w:lvlText w:val="%7"/>
      <w:lvlJc w:val="left"/>
      <w:pPr>
        <w:ind w:left="468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7" w:tplc="3540444C">
      <w:start w:val="1"/>
      <w:numFmt w:val="lowerLetter"/>
      <w:lvlText w:val="%8"/>
      <w:lvlJc w:val="left"/>
      <w:pPr>
        <w:ind w:left="540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8" w:tplc="8A1E2DCA">
      <w:start w:val="1"/>
      <w:numFmt w:val="lowerRoman"/>
      <w:lvlText w:val="%9"/>
      <w:lvlJc w:val="left"/>
      <w:pPr>
        <w:ind w:left="612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abstractNum>
  <w:num w:numId="1" w16cid:durableId="336277751">
    <w:abstractNumId w:val="0"/>
  </w:num>
  <w:num w:numId="2" w16cid:durableId="642657449">
    <w:abstractNumId w:val="3"/>
  </w:num>
  <w:num w:numId="3" w16cid:durableId="2067754237">
    <w:abstractNumId w:val="1"/>
  </w:num>
  <w:num w:numId="4" w16cid:durableId="464007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632"/>
    <w:rsid w:val="001F0579"/>
    <w:rsid w:val="00A2451E"/>
    <w:rsid w:val="00F51632"/>
    <w:rsid w:val="276418A5"/>
    <w:rsid w:val="40ADD3D4"/>
    <w:rsid w:val="4A407E3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197AB"/>
  <w15:docId w15:val="{F2029079-DA89-43C2-9C33-913A04CEE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s-AR" w:eastAsia="es-A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22" w:line="261" w:lineRule="auto"/>
      <w:ind w:left="10" w:hanging="10"/>
      <w:jc w:val="both"/>
    </w:pPr>
    <w:rPr>
      <w:rFonts w:ascii="Verdana" w:hAnsi="Verdana" w:eastAsia="Verdana" w:cs="Verdana"/>
      <w:color w:val="000000"/>
      <w:sz w:val="18"/>
    </w:rPr>
  </w:style>
  <w:style w:type="paragraph" w:styleId="Ttulo1">
    <w:name w:val="heading 1"/>
    <w:next w:val="Normal"/>
    <w:link w:val="Ttulo1Car"/>
    <w:uiPriority w:val="9"/>
    <w:qFormat/>
    <w:pPr>
      <w:keepNext/>
      <w:keepLines/>
      <w:numPr>
        <w:numId w:val="4"/>
      </w:numPr>
      <w:spacing w:after="123" w:line="259" w:lineRule="auto"/>
      <w:ind w:left="10" w:hanging="10"/>
      <w:outlineLvl w:val="0"/>
    </w:pPr>
    <w:rPr>
      <w:rFonts w:ascii="Verdana" w:hAnsi="Verdana" w:eastAsia="Verdana" w:cs="Verdana"/>
      <w:b/>
      <w:color w:val="666666"/>
      <w:sz w:val="1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link w:val="Ttulo1"/>
    <w:rPr>
      <w:rFonts w:ascii="Verdana" w:hAnsi="Verdana" w:eastAsia="Verdana" w:cs="Verdana"/>
      <w:b/>
      <w:color w:val="666666"/>
      <w:sz w:val="18"/>
    </w:rPr>
  </w:style>
  <w:style w:type="table" w:styleId="TableGrid" w:customStyle="1">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Banco Patagonia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Código</dc:title>
  <dc:subject/>
  <dc:creator>DMG</dc:creator>
  <keywords/>
  <lastModifiedBy>NOVELLO, SERGIO GUIDO</lastModifiedBy>
  <revision>3</revision>
  <dcterms:created xsi:type="dcterms:W3CDTF">2026-09-10T17:49:00.0000000Z</dcterms:created>
  <dcterms:modified xsi:type="dcterms:W3CDTF">2026-09-10T17:50:04.5731158Z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PowerlinkCOMAddIn.COMAddIn.WebAddinBridge.Options">
    <vt:lpwstr>{"port":51973,"pid":27220,"hostInfo":{"id":"eb61826a-f53d-4558-998d-4f7b75b88b0a"},"wsAddinLogger":true,"wsAddinLogLevel":"Info","version":"1.7.51"}</vt:lpwstr>
  </property>
</Properties>
</file>